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B910BE" w:rsidP="00E20910">
      <w:pPr>
        <w:pStyle w:val="NoSpacing"/>
        <w:jc w:val="center"/>
        <w:rPr>
          <w:b/>
        </w:rPr>
      </w:pPr>
      <w:r w:rsidRPr="00B910BE">
        <w:rPr>
          <w:b/>
        </w:rPr>
        <w:t>Descriptive Data Analysis</w:t>
      </w:r>
      <w:r w:rsidR="00E20910">
        <w:rPr>
          <w:rStyle w:val="FootnoteReference"/>
          <w:b/>
        </w:rPr>
        <w:footnoteReference w:id="1"/>
      </w:r>
      <w:r w:rsidR="00E20910">
        <w:rPr>
          <w:b/>
        </w:rPr>
        <w:t xml:space="preserve"> of the </w:t>
      </w:r>
      <w:proofErr w:type="spellStart"/>
      <w:r w:rsidR="00E20910" w:rsidRPr="00B910BE">
        <w:rPr>
          <w:b/>
        </w:rPr>
        <w:t>juul</w:t>
      </w:r>
      <w:proofErr w:type="spellEnd"/>
      <w:r w:rsidR="00E20910" w:rsidRPr="00B910BE">
        <w:rPr>
          <w:b/>
        </w:rPr>
        <w:t xml:space="preserve"> data set</w:t>
      </w:r>
    </w:p>
    <w:p w:rsidR="00B910BE" w:rsidRDefault="00B910BE" w:rsidP="00B910BE">
      <w:pPr>
        <w:pStyle w:val="NoSpacing"/>
        <w:jc w:val="center"/>
        <w:rPr>
          <w:b/>
        </w:rPr>
      </w:pPr>
      <w:r>
        <w:rPr>
          <w:b/>
        </w:rPr>
        <w:t>Judy Cushing</w:t>
      </w:r>
    </w:p>
    <w:p w:rsidR="00B910BE" w:rsidRDefault="00B910BE" w:rsidP="00B910BE">
      <w:pPr>
        <w:pStyle w:val="NoSpacing"/>
        <w:jc w:val="center"/>
        <w:rPr>
          <w:b/>
        </w:rPr>
      </w:pPr>
    </w:p>
    <w:p w:rsidR="00B910BE" w:rsidRDefault="00DA4E6F" w:rsidP="00B910BE">
      <w:pPr>
        <w:pStyle w:val="NoSpacing"/>
      </w:pPr>
      <w:r>
        <w:t xml:space="preserve">The </w:t>
      </w:r>
      <w:proofErr w:type="spellStart"/>
      <w:r w:rsidR="00A26ACF">
        <w:t>juul</w:t>
      </w:r>
      <w:proofErr w:type="spellEnd"/>
      <w:r w:rsidR="00A26ACF">
        <w:t xml:space="preserve"> </w:t>
      </w:r>
      <w:r>
        <w:t xml:space="preserve">data set is used </w:t>
      </w:r>
      <w:r w:rsidR="001262C7">
        <w:t xml:space="preserve">as an exemplar dataset </w:t>
      </w:r>
      <w:r w:rsidR="00A26ACF">
        <w:t xml:space="preserve">by P. </w:t>
      </w:r>
      <w:proofErr w:type="spellStart"/>
      <w:r w:rsidR="00A26ACF">
        <w:t>Dalgaard</w:t>
      </w:r>
      <w:proofErr w:type="spellEnd"/>
      <w:r w:rsidR="00A26ACF">
        <w:t xml:space="preserve"> in his </w:t>
      </w:r>
      <w:r w:rsidR="00A26ACF" w:rsidRPr="00A26ACF">
        <w:rPr>
          <w:i/>
        </w:rPr>
        <w:t>Introduction to Statistics with R</w:t>
      </w:r>
      <w:r w:rsidR="00A26ACF">
        <w:rPr>
          <w:i/>
        </w:rPr>
        <w:t xml:space="preserve"> </w:t>
      </w:r>
      <w:r w:rsidR="00A26ACF">
        <w:t>(</w:t>
      </w:r>
      <w:proofErr w:type="spellStart"/>
      <w:r w:rsidR="00A26ACF">
        <w:t>ISwR</w:t>
      </w:r>
      <w:proofErr w:type="spellEnd"/>
      <w:r w:rsidR="00A26ACF">
        <w:t xml:space="preserve">), </w:t>
      </w:r>
      <w:r>
        <w:t>to teach the R statistical language</w:t>
      </w:r>
      <w:r w:rsidR="00A26ACF">
        <w:t xml:space="preserve">.  The </w:t>
      </w:r>
      <w:proofErr w:type="spellStart"/>
      <w:r w:rsidR="00A26ACF">
        <w:t>juul</w:t>
      </w:r>
      <w:proofErr w:type="spellEnd"/>
      <w:r w:rsidR="00A26ACF">
        <w:t xml:space="preserve"> data set </w:t>
      </w:r>
      <w:r w:rsidR="001262C7">
        <w:t xml:space="preserve">can be extracted from the </w:t>
      </w:r>
      <w:proofErr w:type="spellStart"/>
      <w:r w:rsidR="001262C7">
        <w:t>ISwR</w:t>
      </w:r>
      <w:proofErr w:type="spellEnd"/>
      <w:r w:rsidR="001262C7">
        <w:t xml:space="preserve"> R library, and </w:t>
      </w:r>
      <w:r w:rsidR="00B910BE">
        <w:t xml:space="preserve">contains data </w:t>
      </w:r>
      <w:r w:rsidR="00E20910">
        <w:t xml:space="preserve">collected </w:t>
      </w:r>
      <w:r w:rsidR="00B910BE">
        <w:t xml:space="preserve">by Anders </w:t>
      </w:r>
      <w:proofErr w:type="spellStart"/>
      <w:r w:rsidR="00B910BE">
        <w:t>Juul</w:t>
      </w:r>
      <w:proofErr w:type="spellEnd"/>
      <w:r w:rsidR="00B910BE">
        <w:t xml:space="preserve"> </w:t>
      </w:r>
      <w:r w:rsidR="00A26ACF">
        <w:t xml:space="preserve"> </w:t>
      </w:r>
      <w:r w:rsidR="00B910BE">
        <w:t>(</w:t>
      </w:r>
      <w:r w:rsidR="00554221">
        <w:t xml:space="preserve">Dept. for Growth and Reproduction, </w:t>
      </w:r>
      <w:proofErr w:type="spellStart"/>
      <w:r w:rsidR="00554221">
        <w:t>Rigshospitalet</w:t>
      </w:r>
      <w:proofErr w:type="spellEnd"/>
      <w:r w:rsidR="00554221">
        <w:t xml:space="preserve">, </w:t>
      </w:r>
      <w:proofErr w:type="spellStart"/>
      <w:r w:rsidR="00554221">
        <w:t>xxxwhere</w:t>
      </w:r>
      <w:proofErr w:type="spellEnd"/>
      <w:r>
        <w:t>) for a study concerning</w:t>
      </w:r>
      <w:r w:rsidR="00E20910">
        <w:t xml:space="preserve"> </w:t>
      </w:r>
      <w:r w:rsidR="00B910BE">
        <w:t xml:space="preserve">growth factor hormones in a group of </w:t>
      </w:r>
      <w:r>
        <w:t xml:space="preserve">1339 </w:t>
      </w:r>
      <w:r w:rsidR="00B910BE">
        <w:t>healthy humans (primarily schoolchildren)</w:t>
      </w:r>
      <w:r w:rsidR="00B910BE">
        <w:rPr>
          <w:rStyle w:val="FootnoteReference"/>
        </w:rPr>
        <w:footnoteReference w:id="2"/>
      </w:r>
      <w:r w:rsidR="00B910BE">
        <w:t xml:space="preserve">. </w:t>
      </w:r>
      <w:r w:rsidR="001262C7">
        <w:t xml:space="preserve"> For this descriptive analysis of the </w:t>
      </w:r>
      <w:proofErr w:type="spellStart"/>
      <w:r w:rsidR="001262C7">
        <w:t>dataset</w:t>
      </w:r>
      <w:proofErr w:type="gramStart"/>
      <w:r w:rsidR="001262C7">
        <w:t>,b</w:t>
      </w:r>
      <w:r w:rsidR="000227A5">
        <w:t>asic</w:t>
      </w:r>
      <w:proofErr w:type="spellEnd"/>
      <w:proofErr w:type="gramEnd"/>
      <w:r w:rsidR="000227A5">
        <w:t xml:space="preserve"> </w:t>
      </w:r>
      <w:r w:rsidR="001262C7">
        <w:t>descriptive statistics were run</w:t>
      </w:r>
      <w:r w:rsidR="000227A5">
        <w:t xml:space="preserve"> usin</w:t>
      </w:r>
      <w:r w:rsidR="001262C7">
        <w:t>g R (</w:t>
      </w:r>
      <w:proofErr w:type="spellStart"/>
      <w:r w:rsidR="001262C7">
        <w:t>Ver</w:t>
      </w:r>
      <w:proofErr w:type="spellEnd"/>
      <w:r w:rsidR="001262C7">
        <w:t xml:space="preserve"> 2.12.2).</w:t>
      </w:r>
      <w:r w:rsidR="000227A5">
        <w:t xml:space="preserve"> </w:t>
      </w:r>
      <w:r>
        <w:t>Table 1</w:t>
      </w:r>
      <w:r w:rsidR="000227A5">
        <w:t xml:space="preserve"> thus</w:t>
      </w:r>
      <w:r>
        <w:t xml:space="preserve"> summarizes the data.</w:t>
      </w:r>
    </w:p>
    <w:p w:rsidR="00DA4E6F" w:rsidRDefault="00DA4E6F" w:rsidP="00B910BE">
      <w:pPr>
        <w:pStyle w:val="NoSpacing"/>
      </w:pPr>
    </w:p>
    <w:tbl>
      <w:tblPr>
        <w:tblStyle w:val="TableGrid"/>
        <w:tblW w:w="13248" w:type="dxa"/>
        <w:tblLayout w:type="fixed"/>
        <w:tblLook w:val="04A0"/>
      </w:tblPr>
      <w:tblGrid>
        <w:gridCol w:w="918"/>
        <w:gridCol w:w="1170"/>
        <w:gridCol w:w="1080"/>
        <w:gridCol w:w="990"/>
        <w:gridCol w:w="720"/>
        <w:gridCol w:w="900"/>
        <w:gridCol w:w="630"/>
        <w:gridCol w:w="720"/>
        <w:gridCol w:w="630"/>
        <w:gridCol w:w="540"/>
        <w:gridCol w:w="1080"/>
        <w:gridCol w:w="3870"/>
      </w:tblGrid>
      <w:tr w:rsidR="00A26ACF" w:rsidRPr="008F04C2" w:rsidTr="00A26ACF">
        <w:tc>
          <w:tcPr>
            <w:tcW w:w="918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17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8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Range/</w:t>
            </w: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values</w:t>
            </w:r>
          </w:p>
        </w:tc>
        <w:tc>
          <w:tcPr>
            <w:tcW w:w="99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72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90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63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</w:t>
            </w:r>
            <w:r w:rsidRPr="008F04C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F04C2">
              <w:rPr>
                <w:rFonts w:ascii="Arial" w:hAnsi="Arial" w:cs="Arial"/>
                <w:sz w:val="18"/>
                <w:szCs w:val="18"/>
              </w:rPr>
              <w:t xml:space="preserve"> Q</w:t>
            </w:r>
          </w:p>
        </w:tc>
        <w:tc>
          <w:tcPr>
            <w:tcW w:w="72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3</w:t>
            </w:r>
            <w:r w:rsidRPr="008F04C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F04C2">
              <w:rPr>
                <w:rFonts w:ascii="Arial" w:hAnsi="Arial" w:cs="Arial"/>
                <w:sz w:val="18"/>
                <w:szCs w:val="18"/>
              </w:rPr>
              <w:t xml:space="preserve"> Q</w:t>
            </w:r>
          </w:p>
        </w:tc>
        <w:tc>
          <w:tcPr>
            <w:tcW w:w="630" w:type="dxa"/>
          </w:tcPr>
          <w:p w:rsidR="00A26ACF" w:rsidRPr="008F04C2" w:rsidRDefault="00A26ACF" w:rsidP="007B7C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Std</w:t>
            </w:r>
          </w:p>
          <w:p w:rsidR="00A26ACF" w:rsidRPr="008F04C2" w:rsidRDefault="00A26ACF" w:rsidP="007B7C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dev</w:t>
            </w:r>
          </w:p>
        </w:tc>
        <w:tc>
          <w:tcPr>
            <w:tcW w:w="540" w:type="dxa"/>
          </w:tcPr>
          <w:p w:rsidR="00A26ACF" w:rsidRPr="008F04C2" w:rsidRDefault="00A26ACF" w:rsidP="007B7C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7B7C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4C2">
              <w:rPr>
                <w:rFonts w:ascii="Arial" w:hAnsi="Arial" w:cs="Arial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1080" w:type="dxa"/>
          </w:tcPr>
          <w:p w:rsidR="00A26ACF" w:rsidRPr="008F04C2" w:rsidRDefault="00A26ACF" w:rsidP="007B7C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Missing</w:t>
            </w:r>
          </w:p>
          <w:p w:rsidR="00A26ACF" w:rsidRDefault="00A26ACF" w:rsidP="00A26A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(N/A)</w:t>
            </w:r>
          </w:p>
          <w:p w:rsidR="00356DFC" w:rsidRPr="008F04C2" w:rsidRDefault="00356DFC" w:rsidP="00A26A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A26ACF" w:rsidRPr="008F04C2" w:rsidRDefault="00A26ACF" w:rsidP="007B7C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</w:t>
            </w:r>
          </w:p>
        </w:tc>
      </w:tr>
      <w:tr w:rsidR="00A26ACF" w:rsidRPr="008F04C2" w:rsidTr="00A26ACF">
        <w:tc>
          <w:tcPr>
            <w:tcW w:w="918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17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numeric</w:t>
            </w:r>
          </w:p>
        </w:tc>
        <w:tc>
          <w:tcPr>
            <w:tcW w:w="108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0.17..83.0</w:t>
            </w:r>
          </w:p>
        </w:tc>
        <w:tc>
          <w:tcPr>
            <w:tcW w:w="99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04C2">
              <w:rPr>
                <w:rFonts w:ascii="Arial" w:hAnsi="Arial" w:cs="Arial"/>
                <w:sz w:val="18"/>
                <w:szCs w:val="18"/>
              </w:rPr>
              <w:t>years</w:t>
            </w:r>
            <w:proofErr w:type="gramEnd"/>
            <w:r w:rsidRPr="008F04C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2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0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63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72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63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54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A26ACF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5,  0%</w:t>
            </w:r>
          </w:p>
          <w:p w:rsidR="00356DFC" w:rsidRPr="008F04C2" w:rsidRDefault="00356DFC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ACF" w:rsidRPr="008F04C2" w:rsidTr="00A26ACF">
        <w:tc>
          <w:tcPr>
            <w:tcW w:w="918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Igf1</w:t>
            </w:r>
          </w:p>
        </w:tc>
        <w:tc>
          <w:tcPr>
            <w:tcW w:w="117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numeric</w:t>
            </w: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25..321</w:t>
            </w:r>
          </w:p>
        </w:tc>
        <w:tc>
          <w:tcPr>
            <w:tcW w:w="99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72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0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63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2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63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4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.18</w:t>
            </w:r>
          </w:p>
        </w:tc>
        <w:tc>
          <w:tcPr>
            <w:tcW w:w="108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321</w:t>
            </w: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24%</w:t>
            </w: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A26ACF" w:rsidRPr="008F04C2" w:rsidRDefault="00BA7614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these values for subjects &gt;20?</w:t>
            </w:r>
          </w:p>
        </w:tc>
      </w:tr>
      <w:tr w:rsidR="00A26ACF" w:rsidRPr="008F04C2" w:rsidTr="00A26ACF">
        <w:tc>
          <w:tcPr>
            <w:tcW w:w="918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4C2">
              <w:rPr>
                <w:rFonts w:ascii="Arial" w:hAnsi="Arial" w:cs="Arial"/>
                <w:sz w:val="18"/>
                <w:szCs w:val="18"/>
              </w:rPr>
              <w:t>testvol</w:t>
            </w:r>
            <w:proofErr w:type="spellEnd"/>
            <w:r w:rsidRPr="008F04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04C2">
              <w:rPr>
                <w:rFonts w:ascii="Arial" w:hAnsi="Arial" w:cs="Arial"/>
                <w:sz w:val="18"/>
                <w:szCs w:val="18"/>
              </w:rPr>
              <w:t>numeric</w:t>
            </w:r>
            <w:proofErr w:type="gramEnd"/>
            <w:r w:rsidRPr="008F04C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08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1..30</w:t>
            </w:r>
          </w:p>
        </w:tc>
        <w:tc>
          <w:tcPr>
            <w:tcW w:w="99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72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0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3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72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63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.23</w:t>
            </w:r>
          </w:p>
        </w:tc>
        <w:tc>
          <w:tcPr>
            <w:tcW w:w="1080" w:type="dxa"/>
          </w:tcPr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859</w:t>
            </w:r>
          </w:p>
          <w:p w:rsidR="00A26ACF" w:rsidRPr="008F04C2" w:rsidRDefault="00A26ACF" w:rsidP="00B910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64%</w:t>
            </w:r>
          </w:p>
        </w:tc>
        <w:tc>
          <w:tcPr>
            <w:tcW w:w="3870" w:type="dxa"/>
          </w:tcPr>
          <w:p w:rsidR="004A7BB4" w:rsidRPr="008F04C2" w:rsidRDefault="00BA7614" w:rsidP="00BA76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Noted many missing values.  P</w:t>
            </w:r>
            <w:r w:rsidR="004A7BB4">
              <w:rPr>
                <w:rFonts w:ascii="Arial" w:hAnsi="Arial" w:cs="Arial"/>
                <w:sz w:val="18"/>
                <w:szCs w:val="18"/>
              </w:rPr>
              <w:t xml:space="preserve">lot of </w:t>
            </w:r>
            <w:proofErr w:type="spellStart"/>
            <w:r w:rsidR="004A7BB4">
              <w:rPr>
                <w:rFonts w:ascii="Arial" w:hAnsi="Arial" w:cs="Arial"/>
                <w:sz w:val="18"/>
                <w:szCs w:val="18"/>
              </w:rPr>
              <w:t>testvol</w:t>
            </w:r>
            <w:proofErr w:type="spellEnd"/>
            <w:r w:rsidR="004A7BB4">
              <w:rPr>
                <w:rFonts w:ascii="Arial" w:hAnsi="Arial" w:cs="Arial"/>
                <w:sz w:val="18"/>
                <w:szCs w:val="18"/>
              </w:rPr>
              <w:t xml:space="preserve"> by sex </w:t>
            </w:r>
            <w:proofErr w:type="gramStart"/>
            <w:r w:rsidR="004A7BB4" w:rsidRPr="004A7BB4">
              <w:rPr>
                <w:rFonts w:ascii="Arial" w:hAnsi="Arial" w:cs="Arial"/>
                <w:i/>
                <w:sz w:val="18"/>
                <w:szCs w:val="18"/>
              </w:rPr>
              <w:t>plot(</w:t>
            </w:r>
            <w:proofErr w:type="gramEnd"/>
            <w:r w:rsidR="004A7BB4" w:rsidRPr="004A7BB4">
              <w:rPr>
                <w:rFonts w:ascii="Arial" w:hAnsi="Arial" w:cs="Arial"/>
                <w:i/>
                <w:sz w:val="18"/>
                <w:szCs w:val="18"/>
              </w:rPr>
              <w:t>igf1~sex)</w:t>
            </w:r>
            <w:r w:rsidR="004A7BB4">
              <w:rPr>
                <w:rFonts w:ascii="Arial" w:hAnsi="Arial" w:cs="Arial"/>
                <w:sz w:val="18"/>
                <w:szCs w:val="18"/>
              </w:rPr>
              <w:t xml:space="preserve"> showed </w:t>
            </w:r>
            <w:proofErr w:type="spellStart"/>
            <w:r w:rsidR="00FA30FA">
              <w:rPr>
                <w:rFonts w:ascii="Arial" w:hAnsi="Arial" w:cs="Arial"/>
                <w:sz w:val="18"/>
                <w:szCs w:val="18"/>
              </w:rPr>
              <w:t>testvol</w:t>
            </w:r>
            <w:proofErr w:type="spellEnd"/>
            <w:r w:rsidR="004A7B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missing for all 713 females; sp </w:t>
            </w:r>
            <w:r w:rsidR="004A7BB4">
              <w:rPr>
                <w:rFonts w:ascii="Arial" w:hAnsi="Arial" w:cs="Arial"/>
                <w:sz w:val="18"/>
                <w:szCs w:val="18"/>
              </w:rPr>
              <w:t xml:space="preserve">146 </w:t>
            </w:r>
            <w:r>
              <w:rPr>
                <w:rFonts w:ascii="Arial" w:hAnsi="Arial" w:cs="Arial"/>
                <w:sz w:val="18"/>
                <w:szCs w:val="18"/>
              </w:rPr>
              <w:t xml:space="preserve">(18%) </w:t>
            </w:r>
            <w:r w:rsidR="004A7BB4">
              <w:rPr>
                <w:rFonts w:ascii="Arial" w:hAnsi="Arial" w:cs="Arial"/>
                <w:sz w:val="18"/>
                <w:szCs w:val="18"/>
              </w:rPr>
              <w:t xml:space="preserve">males have missing </w:t>
            </w:r>
            <w:proofErr w:type="spellStart"/>
            <w:r w:rsidR="00356DFC">
              <w:rPr>
                <w:rFonts w:ascii="Arial" w:hAnsi="Arial" w:cs="Arial"/>
                <w:sz w:val="18"/>
                <w:szCs w:val="18"/>
              </w:rPr>
              <w:t>tesvol</w:t>
            </w:r>
            <w:proofErr w:type="spellEnd"/>
            <w:r w:rsidR="004A7B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A30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to self:  </w:t>
            </w:r>
            <w:r w:rsidR="00FA30FA">
              <w:rPr>
                <w:rFonts w:ascii="Arial" w:hAnsi="Arial" w:cs="Arial"/>
                <w:sz w:val="18"/>
                <w:szCs w:val="18"/>
              </w:rPr>
              <w:t xml:space="preserve"> to explore </w:t>
            </w:r>
            <w:r>
              <w:rPr>
                <w:rFonts w:ascii="Arial" w:hAnsi="Arial" w:cs="Arial"/>
                <w:sz w:val="18"/>
                <w:szCs w:val="18"/>
              </w:rPr>
              <w:t xml:space="preserve">whether </w:t>
            </w:r>
            <w:proofErr w:type="spellStart"/>
            <w:r w:rsidR="004A7BB4">
              <w:rPr>
                <w:rFonts w:ascii="Arial" w:hAnsi="Arial" w:cs="Arial"/>
                <w:sz w:val="18"/>
                <w:szCs w:val="18"/>
              </w:rPr>
              <w:t>testvol</w:t>
            </w:r>
            <w:proofErr w:type="spellEnd"/>
            <w:r w:rsidR="004A7B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0FA">
              <w:rPr>
                <w:rFonts w:ascii="Arial" w:hAnsi="Arial" w:cs="Arial"/>
                <w:sz w:val="18"/>
                <w:szCs w:val="18"/>
              </w:rPr>
              <w:t>missing for subjects &gt;age20.</w:t>
            </w:r>
          </w:p>
        </w:tc>
      </w:tr>
      <w:tr w:rsidR="00A26ACF" w:rsidRPr="008F04C2" w:rsidTr="00A26ACF">
        <w:tc>
          <w:tcPr>
            <w:tcW w:w="918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17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categorical</w:t>
            </w: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1, 2 recoded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M, F</w:t>
            </w:r>
          </w:p>
        </w:tc>
        <w:tc>
          <w:tcPr>
            <w:tcW w:w="99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0" w:type="dxa"/>
            <w:gridSpan w:val="4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 M                F  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621            713  </w:t>
            </w:r>
          </w:p>
          <w:p w:rsidR="00A26ACF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 46%            53%</w:t>
            </w:r>
          </w:p>
          <w:p w:rsidR="00356DFC" w:rsidRPr="008F04C2" w:rsidRDefault="00356DFC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5,  0%</w:t>
            </w:r>
          </w:p>
        </w:tc>
        <w:tc>
          <w:tcPr>
            <w:tcW w:w="387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ACF" w:rsidRPr="008F04C2" w:rsidTr="00A26ACF">
        <w:tc>
          <w:tcPr>
            <w:tcW w:w="918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4C2">
              <w:rPr>
                <w:rFonts w:ascii="Arial" w:hAnsi="Arial" w:cs="Arial"/>
                <w:sz w:val="18"/>
                <w:szCs w:val="18"/>
              </w:rPr>
              <w:t>menarch</w:t>
            </w:r>
            <w:proofErr w:type="spellEnd"/>
          </w:p>
        </w:tc>
        <w:tc>
          <w:tcPr>
            <w:tcW w:w="117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categorical</w:t>
            </w: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1, 2 recoded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No, Yes</w:t>
            </w:r>
          </w:p>
        </w:tc>
        <w:tc>
          <w:tcPr>
            <w:tcW w:w="99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0" w:type="dxa"/>
            <w:gridSpan w:val="4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 No            Yes   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369            335  </w:t>
            </w:r>
          </w:p>
          <w:p w:rsidR="00A26ACF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  52%          47%</w:t>
            </w:r>
          </w:p>
          <w:p w:rsidR="00356DFC" w:rsidRPr="008F04C2" w:rsidRDefault="00356DFC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635   47%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Of </w:t>
            </w:r>
            <w:proofErr w:type="spellStart"/>
            <w:r w:rsidRPr="008F04C2">
              <w:rPr>
                <w:rFonts w:ascii="Arial" w:hAnsi="Arial" w:cs="Arial"/>
                <w:sz w:val="18"/>
                <w:szCs w:val="18"/>
              </w:rPr>
              <w:t>sex:F</w:t>
            </w:r>
            <w:proofErr w:type="spellEnd"/>
            <w:r w:rsidRPr="008F04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14      2%</w:t>
            </w:r>
          </w:p>
        </w:tc>
        <w:tc>
          <w:tcPr>
            <w:tcW w:w="3870" w:type="dxa"/>
          </w:tcPr>
          <w:p w:rsidR="00A26ACF" w:rsidRPr="008F04C2" w:rsidRDefault="00BA7614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Again, many missing values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;  most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likely for males and females &gt;20, though this should be confirmed.</w:t>
            </w:r>
          </w:p>
        </w:tc>
      </w:tr>
      <w:tr w:rsidR="00A26ACF" w:rsidRPr="008F04C2" w:rsidTr="00A26ACF">
        <w:trPr>
          <w:trHeight w:val="728"/>
        </w:trPr>
        <w:tc>
          <w:tcPr>
            <w:tcW w:w="918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tanner</w:t>
            </w:r>
          </w:p>
        </w:tc>
        <w:tc>
          <w:tcPr>
            <w:tcW w:w="117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categorical</w:t>
            </w: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1..5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recoded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I,II,III,IV,V</w:t>
            </w:r>
          </w:p>
        </w:tc>
        <w:tc>
          <w:tcPr>
            <w:tcW w:w="99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970" w:type="dxa"/>
            <w:gridSpan w:val="4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   I       II       III   IV    V     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515   103    72   81  328  </w:t>
            </w:r>
          </w:p>
          <w:p w:rsidR="00A26ACF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 xml:space="preserve"> 47%   9%    7%  7% 30%</w:t>
            </w:r>
          </w:p>
          <w:p w:rsidR="00356DFC" w:rsidRPr="008F04C2" w:rsidRDefault="00356DFC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F04C2">
              <w:rPr>
                <w:rFonts w:ascii="Arial" w:hAnsi="Arial" w:cs="Arial"/>
                <w:sz w:val="18"/>
                <w:szCs w:val="18"/>
              </w:rPr>
              <w:t>18%</w:t>
            </w: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26ACF" w:rsidRPr="008F04C2" w:rsidRDefault="00A26ACF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:rsidR="00A26ACF" w:rsidRPr="008F04C2" w:rsidRDefault="00BA7614" w:rsidP="0010456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Again, are these values for subjects &gt;20?</w:t>
            </w:r>
          </w:p>
        </w:tc>
      </w:tr>
    </w:tbl>
    <w:p w:rsidR="00DA4E6F" w:rsidRDefault="00DA4E6F" w:rsidP="002C5016">
      <w:pPr>
        <w:pStyle w:val="NoSpacing"/>
      </w:pPr>
      <w:proofErr w:type="gramStart"/>
      <w:r w:rsidRPr="002C5016">
        <w:rPr>
          <w:b/>
        </w:rPr>
        <w:t>Table 1:</w:t>
      </w:r>
      <w:r>
        <w:t xml:space="preserve">  Summary of data in the </w:t>
      </w:r>
      <w:proofErr w:type="spellStart"/>
      <w:r>
        <w:t>jull</w:t>
      </w:r>
      <w:proofErr w:type="spellEnd"/>
      <w:r>
        <w:t xml:space="preserve"> dataset.</w:t>
      </w:r>
      <w:proofErr w:type="gramEnd"/>
      <w:r w:rsidR="00816311">
        <w:t xml:space="preserve">  Range is given for numeric variables and values for categorical variables.</w:t>
      </w:r>
      <w:r w:rsidR="007B7C11">
        <w:t xml:space="preserve">  Since mean, median, and quartiles are not meaningful for categorical data, counts</w:t>
      </w:r>
      <w:r w:rsidR="00BA7614">
        <w:t xml:space="preserve"> are given for each category.  S</w:t>
      </w:r>
      <w:r w:rsidR="007B7C11">
        <w:t xml:space="preserve">ummary statistics (mean, median, </w:t>
      </w:r>
      <w:proofErr w:type="spellStart"/>
      <w:proofErr w:type="gramStart"/>
      <w:r w:rsidR="007B7C11">
        <w:t>ec</w:t>
      </w:r>
      <w:proofErr w:type="spellEnd"/>
      <w:proofErr w:type="gramEnd"/>
      <w:r w:rsidR="007B7C11">
        <w:t>.) were rounded to one decimal place.  No units were given for these data, but the author made some assumptions or marked these “unknown”.</w:t>
      </w:r>
    </w:p>
    <w:p w:rsidR="002C5016" w:rsidRDefault="00DA4E6F" w:rsidP="00B910BE">
      <w:pPr>
        <w:pStyle w:val="NoSpacing"/>
      </w:pPr>
      <w:r>
        <w:t xml:space="preserve">Semantics of </w:t>
      </w:r>
      <w:r w:rsidR="001262C7">
        <w:t>variables age and</w:t>
      </w:r>
      <w:r w:rsidR="002C5016">
        <w:t xml:space="preserve"> sex are self explanatory, but some readers might need clarification for the following:</w:t>
      </w:r>
      <w:r>
        <w:t xml:space="preserve">  </w:t>
      </w:r>
    </w:p>
    <w:p w:rsidR="002C5016" w:rsidRDefault="00DA4E6F" w:rsidP="002C5016">
      <w:pPr>
        <w:pStyle w:val="NoSpacing"/>
        <w:numPr>
          <w:ilvl w:val="0"/>
          <w:numId w:val="1"/>
        </w:numPr>
      </w:pPr>
      <w:proofErr w:type="spellStart"/>
      <w:r w:rsidRPr="002C5016">
        <w:rPr>
          <w:u w:val="single"/>
        </w:rPr>
        <w:lastRenderedPageBreak/>
        <w:t>menarch</w:t>
      </w:r>
      <w:proofErr w:type="spellEnd"/>
      <w:r w:rsidR="001262C7">
        <w:t xml:space="preserve">:  </w:t>
      </w:r>
      <w:r w:rsidR="00B910BE">
        <w:t xml:space="preserve">whether females have </w:t>
      </w:r>
      <w:r w:rsidR="002C5016">
        <w:t>started menstruating</w:t>
      </w:r>
    </w:p>
    <w:p w:rsidR="002C5016" w:rsidRDefault="00816311" w:rsidP="002C5016">
      <w:pPr>
        <w:pStyle w:val="NoSpacing"/>
        <w:numPr>
          <w:ilvl w:val="0"/>
          <w:numId w:val="1"/>
        </w:numPr>
      </w:pPr>
      <w:r w:rsidRPr="002C5016">
        <w:rPr>
          <w:u w:val="single"/>
        </w:rPr>
        <w:t>igf1</w:t>
      </w:r>
      <w:r w:rsidR="001262C7">
        <w:t xml:space="preserve">: </w:t>
      </w:r>
      <w:r w:rsidR="002C5016">
        <w:t xml:space="preserve"> </w:t>
      </w:r>
      <w:r w:rsidR="00E20910">
        <w:t xml:space="preserve">serum </w:t>
      </w:r>
      <w:r>
        <w:t>IGF-1</w:t>
      </w:r>
      <w:r w:rsidR="00E20910">
        <w:t xml:space="preserve">, </w:t>
      </w:r>
      <w:r>
        <w:t xml:space="preserve">an </w:t>
      </w:r>
      <w:r w:rsidR="00E20910">
        <w:t>ins</w:t>
      </w:r>
      <w:r w:rsidR="002C5016">
        <w:t>ulin like growth factor</w:t>
      </w:r>
    </w:p>
    <w:p w:rsidR="002C5016" w:rsidRDefault="002C5016" w:rsidP="002C5016">
      <w:pPr>
        <w:pStyle w:val="NoSpacing"/>
        <w:numPr>
          <w:ilvl w:val="0"/>
          <w:numId w:val="1"/>
        </w:numPr>
      </w:pPr>
      <w:r w:rsidRPr="002C5016">
        <w:rPr>
          <w:u w:val="single"/>
        </w:rPr>
        <w:t>tanner</w:t>
      </w:r>
      <w:r w:rsidR="001262C7">
        <w:t xml:space="preserve">: </w:t>
      </w:r>
      <w:r>
        <w:t xml:space="preserve"> </w:t>
      </w:r>
      <w:r w:rsidR="00E20910">
        <w:t>Tanner stage of puberty, a classification according to primary and secondary sexual characteristics</w:t>
      </w:r>
    </w:p>
    <w:p w:rsidR="00B910BE" w:rsidRDefault="00816311" w:rsidP="002C5016">
      <w:pPr>
        <w:pStyle w:val="NoSpacing"/>
        <w:numPr>
          <w:ilvl w:val="0"/>
          <w:numId w:val="1"/>
        </w:numPr>
      </w:pPr>
      <w:proofErr w:type="spellStart"/>
      <w:proofErr w:type="gramStart"/>
      <w:r w:rsidRPr="002C5016">
        <w:rPr>
          <w:u w:val="single"/>
        </w:rPr>
        <w:t>testvol</w:t>
      </w:r>
      <w:proofErr w:type="spellEnd"/>
      <w:proofErr w:type="gramEnd"/>
      <w:r w:rsidR="001262C7">
        <w:t xml:space="preserve">: </w:t>
      </w:r>
      <w:r>
        <w:t xml:space="preserve"> </w:t>
      </w:r>
      <w:r w:rsidR="00A26ACF">
        <w:t>Testicular volume</w:t>
      </w:r>
      <w:r w:rsidR="001262C7">
        <w:t xml:space="preserve">. </w:t>
      </w:r>
      <w:r w:rsidR="00A26ACF">
        <w:t xml:space="preserve">  </w:t>
      </w:r>
    </w:p>
    <w:p w:rsidR="006F5431" w:rsidRDefault="006F5431" w:rsidP="006F5431">
      <w:pPr>
        <w:pStyle w:val="NoSpacing"/>
        <w:ind w:left="360"/>
      </w:pPr>
    </w:p>
    <w:p w:rsidR="006F5431" w:rsidRDefault="006F5431" w:rsidP="001262C7">
      <w:pPr>
        <w:pStyle w:val="NoSpacing"/>
      </w:pPr>
      <w:r>
        <w:t xml:space="preserve">Topic of interest:  </w:t>
      </w:r>
      <w:r w:rsidR="00EC3312">
        <w:t>human growth factors, e.g., IGF-1, an insulin like growth factor.</w:t>
      </w:r>
      <w:r w:rsidR="001262C7">
        <w:t xml:space="preserve">  This author’s potential scientific q</w:t>
      </w:r>
      <w:r>
        <w:t>uestion</w:t>
      </w:r>
      <w:r w:rsidR="001262C7">
        <w:t xml:space="preserve"> as she looked at the data set</w:t>
      </w:r>
      <w:r>
        <w:t xml:space="preserve">:  What is the relationship of </w:t>
      </w:r>
      <w:r w:rsidR="000227A5">
        <w:t>igf1 to secondary sexual characteristics (tanner group</w:t>
      </w:r>
      <w:r>
        <w:t>) a</w:t>
      </w:r>
      <w:r w:rsidR="001262C7">
        <w:t>nd to menarche (in females)?   H</w:t>
      </w:r>
      <w:r>
        <w:t xml:space="preserve">ow do these data vary with </w:t>
      </w:r>
      <w:proofErr w:type="gramStart"/>
      <w:r>
        <w:t>age ?</w:t>
      </w:r>
      <w:proofErr w:type="gramEnd"/>
      <w:r w:rsidR="001262C7">
        <w:t xml:space="preserve">  </w:t>
      </w:r>
      <w:r w:rsidR="00EC3312">
        <w:t xml:space="preserve">My </w:t>
      </w:r>
      <w:r>
        <w:t>initial perusal of the summary data suggested age was unevenly distributed across the data</w:t>
      </w:r>
      <w:proofErr w:type="gramStart"/>
      <w:r>
        <w:t xml:space="preserve">; </w:t>
      </w:r>
      <w:r w:rsidR="001262C7">
        <w:t xml:space="preserve"> see</w:t>
      </w:r>
      <w:proofErr w:type="gramEnd"/>
      <w:r w:rsidR="001262C7">
        <w:t xml:space="preserve"> Fig.1.  S</w:t>
      </w:r>
      <w:r>
        <w:t xml:space="preserve">ubsequent analysis </w:t>
      </w:r>
      <w:r w:rsidR="001262C7">
        <w:t>might</w:t>
      </w:r>
      <w:r>
        <w:t xml:space="preserve"> separate the data by age class, e.g., &lt;pubert</w:t>
      </w:r>
      <w:r w:rsidR="001262C7">
        <w:t xml:space="preserve">y, “puberty years”, &gt;puberty, &gt; </w:t>
      </w:r>
      <w:proofErr w:type="spellStart"/>
      <w:r w:rsidR="001262C7">
        <w:t>postpubescent</w:t>
      </w:r>
      <w:proofErr w:type="spellEnd"/>
      <w:r w:rsidR="001262C7">
        <w:t xml:space="preserve"> (i.e., 20).   P</w:t>
      </w:r>
      <w:r>
        <w:t>erhaps variables tanner and igf1 will contribute to setting these cutoffs.</w:t>
      </w:r>
    </w:p>
    <w:p w:rsidR="006F5431" w:rsidRDefault="00EC3312" w:rsidP="006F5431">
      <w:r>
        <w:rPr>
          <w:noProof/>
        </w:rPr>
        <w:drawing>
          <wp:inline distT="0" distB="0" distL="0" distR="0">
            <wp:extent cx="1719652" cy="2409825"/>
            <wp:effectExtent l="19050" t="0" r="0" b="0"/>
            <wp:docPr id="2" name="Picture 0" descr="histogra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gramAg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87" cy="24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733" w:rsidRPr="00A47733">
        <w:rPr>
          <w:noProof/>
        </w:rPr>
        <w:drawing>
          <wp:inline distT="0" distB="0" distL="0" distR="0">
            <wp:extent cx="2905079" cy="2900733"/>
            <wp:effectExtent l="19050" t="0" r="0" b="0"/>
            <wp:docPr id="10" name="Picture 6" descr="Tannerstage_menarch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rstage_menarche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973" cy="290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733" w:rsidRPr="00A47733">
        <w:rPr>
          <w:noProof/>
        </w:rPr>
        <w:drawing>
          <wp:inline distT="0" distB="0" distL="0" distR="0">
            <wp:extent cx="2979331" cy="2974875"/>
            <wp:effectExtent l="19050" t="0" r="0" b="0"/>
            <wp:docPr id="11" name="Picture 5" descr="tannerstage_gen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nerstage_gender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206" cy="297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33" w:rsidRDefault="00EC3312" w:rsidP="00A47733">
      <w:r>
        <w:t xml:space="preserve">Fig. 1 </w:t>
      </w:r>
      <w:r w:rsidR="00A47733">
        <w:t>(left above</w:t>
      </w:r>
      <w:proofErr w:type="gramStart"/>
      <w:r w:rsidR="00A47733">
        <w:t>)  Histogram</w:t>
      </w:r>
      <w:proofErr w:type="gramEnd"/>
      <w:r w:rsidR="00A47733">
        <w:t xml:space="preserve"> of Age.  </w:t>
      </w:r>
      <w:proofErr w:type="gramStart"/>
      <w:r w:rsidR="00A47733">
        <w:t>Shows that most subjects in the study were younger than age 20.</w:t>
      </w:r>
      <w:proofErr w:type="gramEnd"/>
      <w:r w:rsidR="00A47733">
        <w:t xml:space="preserve">   </w:t>
      </w:r>
    </w:p>
    <w:p w:rsidR="00A47733" w:rsidRDefault="00A47733" w:rsidP="00A47733">
      <w:proofErr w:type="gramStart"/>
      <w:r>
        <w:t>Fig. 2</w:t>
      </w:r>
      <w:r w:rsidRPr="00A47733">
        <w:t xml:space="preserve"> </w:t>
      </w:r>
      <w:r>
        <w:t>(center above) Tanner Stage by Menarche.</w:t>
      </w:r>
      <w:proofErr w:type="gramEnd"/>
      <w:r>
        <w:t xml:space="preserve">  Thanks to </w:t>
      </w:r>
      <w:proofErr w:type="spellStart"/>
      <w:r>
        <w:t>Hayduk</w:t>
      </w:r>
      <w:proofErr w:type="spellEnd"/>
      <w:r>
        <w:t xml:space="preserve"> and Kruse.   Shows a more females reach menarche at a higher tanner stage. </w:t>
      </w:r>
      <w:r w:rsidRPr="00A47733">
        <w:t>These two variables are correlated and co-predict.  At tanner stage 1 almost no female</w:t>
      </w:r>
      <w:r>
        <w:t>s have reached puberty</w:t>
      </w:r>
      <w:proofErr w:type="gramStart"/>
      <w:r>
        <w:t>;  at</w:t>
      </w:r>
      <w:proofErr w:type="gramEnd"/>
      <w:r>
        <w:t xml:space="preserve"> stag</w:t>
      </w:r>
      <w:r w:rsidRPr="00A47733">
        <w:t>e V almost all have.</w:t>
      </w:r>
    </w:p>
    <w:p w:rsidR="00A47733" w:rsidRDefault="00A47733" w:rsidP="00A47733">
      <w:proofErr w:type="gramStart"/>
      <w:r>
        <w:t>Fig 3.</w:t>
      </w:r>
      <w:proofErr w:type="gramEnd"/>
      <w:r>
        <w:t xml:space="preserve"> (</w:t>
      </w:r>
      <w:proofErr w:type="gramStart"/>
      <w:r>
        <w:t>right</w:t>
      </w:r>
      <w:proofErr w:type="gramEnd"/>
      <w:r>
        <w:t xml:space="preserve"> above) </w:t>
      </w:r>
      <w:proofErr w:type="gramStart"/>
      <w:r>
        <w:t>Tanner Stage by Gender.</w:t>
      </w:r>
      <w:proofErr w:type="gramEnd"/>
      <w:r>
        <w:t xml:space="preserve">  Thanks to </w:t>
      </w:r>
      <w:proofErr w:type="spellStart"/>
      <w:r>
        <w:t>Hayduk</w:t>
      </w:r>
      <w:proofErr w:type="spellEnd"/>
      <w:r>
        <w:t xml:space="preserve"> and Kruse.   This histogram suggests that females mature (reach higher levels of tanner) earlier than males. However, this assumes? </w:t>
      </w:r>
      <w:proofErr w:type="gramStart"/>
      <w:r>
        <w:t>that</w:t>
      </w:r>
      <w:proofErr w:type="gramEnd"/>
      <w:r>
        <w:t xml:space="preserve"> the age distribution for the two groups were similar.</w:t>
      </w:r>
    </w:p>
    <w:p w:rsidR="00A47733" w:rsidRDefault="00A47733" w:rsidP="00BE3988"/>
    <w:p w:rsidR="00BE3988" w:rsidRDefault="001262C7" w:rsidP="00BE3988">
      <w:proofErr w:type="gramStart"/>
      <w:r>
        <w:t>Table 2</w:t>
      </w:r>
      <w:r w:rsidR="00BE1E9B">
        <w:t>.</w:t>
      </w:r>
      <w:proofErr w:type="gramEnd"/>
      <w:r w:rsidR="00BE1E9B">
        <w:t xml:space="preserve">  M</w:t>
      </w:r>
      <w:r w:rsidR="00BE3988">
        <w:t>ean igf1 val</w:t>
      </w:r>
      <w:r>
        <w:t>ue, reported by tanner group.  T</w:t>
      </w:r>
      <w:r w:rsidR="00BE3988">
        <w:t xml:space="preserve">his </w:t>
      </w:r>
      <w:r>
        <w:t>suggests</w:t>
      </w:r>
      <w:r w:rsidR="00BE3988">
        <w:t xml:space="preserve"> that tanner level and igf1 are related, with those subjects having</w:t>
      </w:r>
      <w:r w:rsidR="00A47733">
        <w:t xml:space="preserve"> a higher tanner level also </w:t>
      </w:r>
      <w:proofErr w:type="gramStart"/>
      <w:r w:rsidR="00A47733">
        <w:t xml:space="preserve">having </w:t>
      </w:r>
      <w:r w:rsidR="00BE3988">
        <w:t xml:space="preserve"> higher</w:t>
      </w:r>
      <w:proofErr w:type="gramEnd"/>
      <w:r w:rsidR="00BE3988">
        <w:t xml:space="preserve"> igf1 levels.  </w:t>
      </w:r>
      <w:proofErr w:type="spellStart"/>
      <w:proofErr w:type="gramStart"/>
      <w:r w:rsidR="00A47733">
        <w:t>tapply</w:t>
      </w:r>
      <w:proofErr w:type="spellEnd"/>
      <w:r w:rsidR="00A47733">
        <w:t>(</w:t>
      </w:r>
      <w:proofErr w:type="gramEnd"/>
      <w:r w:rsidR="00A47733">
        <w:t xml:space="preserve">igf1, tanner, mean, na.rm=T)  was the </w:t>
      </w:r>
      <w:r w:rsidR="00BE1E9B">
        <w:t xml:space="preserve">R </w:t>
      </w:r>
      <w:r w:rsidR="00A47733">
        <w:t>command used to generate this table.</w:t>
      </w:r>
    </w:p>
    <w:tbl>
      <w:tblPr>
        <w:tblStyle w:val="TableGrid"/>
        <w:tblW w:w="0" w:type="auto"/>
        <w:jc w:val="center"/>
        <w:tblLook w:val="04A0"/>
      </w:tblPr>
      <w:tblGrid>
        <w:gridCol w:w="1131"/>
        <w:gridCol w:w="777"/>
        <w:gridCol w:w="828"/>
        <w:gridCol w:w="828"/>
        <w:gridCol w:w="828"/>
        <w:gridCol w:w="828"/>
      </w:tblGrid>
      <w:tr w:rsidR="00A47733" w:rsidTr="001262C7">
        <w:trPr>
          <w:jc w:val="center"/>
        </w:trPr>
        <w:tc>
          <w:tcPr>
            <w:tcW w:w="1131" w:type="dxa"/>
          </w:tcPr>
          <w:p w:rsidR="00A47733" w:rsidRDefault="00A47733" w:rsidP="00BE3988">
            <w:r>
              <w:t>Tanner</w:t>
            </w:r>
          </w:p>
        </w:tc>
        <w:tc>
          <w:tcPr>
            <w:tcW w:w="777" w:type="dxa"/>
          </w:tcPr>
          <w:p w:rsidR="00A47733" w:rsidRDefault="00A47733" w:rsidP="00BE3988">
            <w:r>
              <w:t>I</w:t>
            </w:r>
          </w:p>
        </w:tc>
        <w:tc>
          <w:tcPr>
            <w:tcW w:w="828" w:type="dxa"/>
          </w:tcPr>
          <w:p w:rsidR="00A47733" w:rsidRDefault="00A47733" w:rsidP="00BE3988">
            <w:r>
              <w:t>II</w:t>
            </w:r>
          </w:p>
        </w:tc>
        <w:tc>
          <w:tcPr>
            <w:tcW w:w="828" w:type="dxa"/>
          </w:tcPr>
          <w:p w:rsidR="00A47733" w:rsidRDefault="00A47733" w:rsidP="00BE3988">
            <w:r>
              <w:t>III</w:t>
            </w:r>
          </w:p>
        </w:tc>
        <w:tc>
          <w:tcPr>
            <w:tcW w:w="828" w:type="dxa"/>
          </w:tcPr>
          <w:p w:rsidR="00A47733" w:rsidRDefault="00A47733" w:rsidP="00BE3988">
            <w:r>
              <w:t>IV</w:t>
            </w:r>
          </w:p>
        </w:tc>
        <w:tc>
          <w:tcPr>
            <w:tcW w:w="828" w:type="dxa"/>
          </w:tcPr>
          <w:p w:rsidR="00A47733" w:rsidRDefault="00A47733" w:rsidP="00BE3988">
            <w:r>
              <w:t>V</w:t>
            </w:r>
          </w:p>
        </w:tc>
      </w:tr>
      <w:tr w:rsidR="00A47733" w:rsidTr="001262C7">
        <w:trPr>
          <w:jc w:val="center"/>
        </w:trPr>
        <w:tc>
          <w:tcPr>
            <w:tcW w:w="1131" w:type="dxa"/>
          </w:tcPr>
          <w:p w:rsidR="00A47733" w:rsidRDefault="00A47733" w:rsidP="00BE3988">
            <w:r>
              <w:t xml:space="preserve">IGF1        </w:t>
            </w:r>
          </w:p>
        </w:tc>
        <w:tc>
          <w:tcPr>
            <w:tcW w:w="777" w:type="dxa"/>
          </w:tcPr>
          <w:p w:rsidR="00A47733" w:rsidRDefault="00A47733" w:rsidP="00BE3988">
            <w:r>
              <w:t>207.5</w:t>
            </w:r>
          </w:p>
        </w:tc>
        <w:tc>
          <w:tcPr>
            <w:tcW w:w="828" w:type="dxa"/>
          </w:tcPr>
          <w:p w:rsidR="00A47733" w:rsidRDefault="00A47733" w:rsidP="00BE3988">
            <w:r>
              <w:t>352.7</w:t>
            </w:r>
          </w:p>
        </w:tc>
        <w:tc>
          <w:tcPr>
            <w:tcW w:w="828" w:type="dxa"/>
          </w:tcPr>
          <w:p w:rsidR="00A47733" w:rsidRDefault="00A47733" w:rsidP="00BE3988">
            <w:r>
              <w:t>483.2</w:t>
            </w:r>
          </w:p>
        </w:tc>
        <w:tc>
          <w:tcPr>
            <w:tcW w:w="828" w:type="dxa"/>
          </w:tcPr>
          <w:p w:rsidR="00A47733" w:rsidRDefault="00A47733" w:rsidP="00BE3988">
            <w:r>
              <w:t>513.0</w:t>
            </w:r>
          </w:p>
        </w:tc>
        <w:tc>
          <w:tcPr>
            <w:tcW w:w="828" w:type="dxa"/>
          </w:tcPr>
          <w:p w:rsidR="00A47733" w:rsidRDefault="00A47733" w:rsidP="00BE3988">
            <w:r>
              <w:t>465.3</w:t>
            </w:r>
          </w:p>
        </w:tc>
      </w:tr>
    </w:tbl>
    <w:p w:rsidR="00BE3988" w:rsidRDefault="00BE3988" w:rsidP="00BE3988"/>
    <w:p w:rsidR="001262C7" w:rsidRDefault="001262C7" w:rsidP="001262C7">
      <w:pPr>
        <w:pStyle w:val="NoSpacing"/>
      </w:pPr>
      <w:proofErr w:type="gramStart"/>
      <w:r>
        <w:t>Table 3.</w:t>
      </w:r>
      <w:proofErr w:type="gramEnd"/>
      <w:r>
        <w:t xml:space="preserve">  Mean age and IGf1 by sex.  This </w:t>
      </w:r>
      <w:proofErr w:type="gramStart"/>
      <w:r>
        <w:t>suggests  that</w:t>
      </w:r>
      <w:proofErr w:type="gramEnd"/>
      <w:r>
        <w:t xml:space="preserve"> females  and males differ by age </w:t>
      </w:r>
      <w:proofErr w:type="spellStart"/>
      <w:r>
        <w:t>wrt</w:t>
      </w:r>
      <w:proofErr w:type="spellEnd"/>
      <w:r>
        <w:t xml:space="preserve"> igf1 levels.  </w:t>
      </w:r>
      <w:proofErr w:type="gramStart"/>
      <w:r>
        <w:t>perhaps</w:t>
      </w:r>
      <w:proofErr w:type="gramEnd"/>
      <w:r>
        <w:t xml:space="preserve"> females </w:t>
      </w:r>
    </w:p>
    <w:p w:rsidR="00BE3988" w:rsidRDefault="001262C7" w:rsidP="001262C7">
      <w:proofErr w:type="gramStart"/>
      <w:r>
        <w:t>aggregate(</w:t>
      </w:r>
      <w:proofErr w:type="spellStart"/>
      <w:proofErr w:type="gramEnd"/>
      <w:r>
        <w:t>juul</w:t>
      </w:r>
      <w:proofErr w:type="spellEnd"/>
      <w:r>
        <w:t>[c("age","igf1")], list(sex=</w:t>
      </w:r>
      <w:proofErr w:type="spellStart"/>
      <w:r>
        <w:t>juul$sex</w:t>
      </w:r>
      <w:proofErr w:type="spellEnd"/>
      <w:r>
        <w:t>), mean, na.rm=T)was the R command used to generate this table.</w:t>
      </w:r>
    </w:p>
    <w:tbl>
      <w:tblPr>
        <w:tblStyle w:val="TableGrid"/>
        <w:tblW w:w="0" w:type="auto"/>
        <w:jc w:val="center"/>
        <w:tblInd w:w="1449" w:type="dxa"/>
        <w:tblLook w:val="04A0"/>
      </w:tblPr>
      <w:tblGrid>
        <w:gridCol w:w="945"/>
        <w:gridCol w:w="1220"/>
        <w:gridCol w:w="1260"/>
      </w:tblGrid>
      <w:tr w:rsidR="00BE3988" w:rsidTr="001262C7">
        <w:trPr>
          <w:jc w:val="center"/>
        </w:trPr>
        <w:tc>
          <w:tcPr>
            <w:tcW w:w="945" w:type="dxa"/>
          </w:tcPr>
          <w:p w:rsidR="00BE3988" w:rsidRDefault="00BE3988" w:rsidP="00BE3988">
            <w:r>
              <w:t xml:space="preserve">sex      </w:t>
            </w:r>
          </w:p>
        </w:tc>
        <w:tc>
          <w:tcPr>
            <w:tcW w:w="1220" w:type="dxa"/>
          </w:tcPr>
          <w:p w:rsidR="00BE3988" w:rsidRDefault="00BE3988" w:rsidP="00BE3988">
            <w:r>
              <w:t xml:space="preserve">age     </w:t>
            </w:r>
          </w:p>
        </w:tc>
        <w:tc>
          <w:tcPr>
            <w:tcW w:w="1260" w:type="dxa"/>
          </w:tcPr>
          <w:p w:rsidR="00BE3988" w:rsidRDefault="00BE3988" w:rsidP="00BE3988">
            <w:r>
              <w:t xml:space="preserve">  igf1</w:t>
            </w:r>
          </w:p>
        </w:tc>
      </w:tr>
      <w:tr w:rsidR="00BE3988" w:rsidTr="001262C7">
        <w:trPr>
          <w:jc w:val="center"/>
        </w:trPr>
        <w:tc>
          <w:tcPr>
            <w:tcW w:w="945" w:type="dxa"/>
          </w:tcPr>
          <w:p w:rsidR="00BE3988" w:rsidRDefault="00BE3988" w:rsidP="00BE3988">
            <w:r>
              <w:t>M</w:t>
            </w:r>
          </w:p>
        </w:tc>
        <w:tc>
          <w:tcPr>
            <w:tcW w:w="1220" w:type="dxa"/>
          </w:tcPr>
          <w:p w:rsidR="00BE3988" w:rsidRDefault="00BE3988" w:rsidP="00BE3988">
            <w:r>
              <w:t>15.38436</w:t>
            </w:r>
          </w:p>
        </w:tc>
        <w:tc>
          <w:tcPr>
            <w:tcW w:w="1260" w:type="dxa"/>
          </w:tcPr>
          <w:p w:rsidR="00BE3988" w:rsidRDefault="00BE3988" w:rsidP="00BE3988">
            <w:r>
              <w:t>310.8866</w:t>
            </w:r>
          </w:p>
        </w:tc>
      </w:tr>
      <w:tr w:rsidR="00BE3988" w:rsidTr="001262C7">
        <w:trPr>
          <w:jc w:val="center"/>
        </w:trPr>
        <w:tc>
          <w:tcPr>
            <w:tcW w:w="945" w:type="dxa"/>
          </w:tcPr>
          <w:p w:rsidR="00BE3988" w:rsidRDefault="00BE3988" w:rsidP="00BE3988">
            <w:r>
              <w:t>F</w:t>
            </w:r>
          </w:p>
        </w:tc>
        <w:tc>
          <w:tcPr>
            <w:tcW w:w="1220" w:type="dxa"/>
          </w:tcPr>
          <w:p w:rsidR="00BE3988" w:rsidRDefault="00BE3988" w:rsidP="00BE3988">
            <w:r>
              <w:t xml:space="preserve">14.84363 </w:t>
            </w:r>
          </w:p>
        </w:tc>
        <w:tc>
          <w:tcPr>
            <w:tcW w:w="1260" w:type="dxa"/>
          </w:tcPr>
          <w:p w:rsidR="00BE3988" w:rsidRDefault="00BE3988" w:rsidP="00BE3988">
            <w:r>
              <w:t>368.1006</w:t>
            </w:r>
          </w:p>
        </w:tc>
      </w:tr>
    </w:tbl>
    <w:p w:rsidR="00BE3988" w:rsidRDefault="00BE3988" w:rsidP="00BE3988"/>
    <w:p w:rsidR="00066AFB" w:rsidRDefault="00066AFB" w:rsidP="00BE3988"/>
    <w:p w:rsidR="00066AFB" w:rsidRDefault="00066AFB" w:rsidP="00066AFB">
      <w:r>
        <w:t xml:space="preserve">One take home lesson from </w:t>
      </w:r>
      <w:proofErr w:type="gramStart"/>
      <w:r>
        <w:t>this exercises</w:t>
      </w:r>
      <w:proofErr w:type="gramEnd"/>
      <w:r>
        <w:t xml:space="preserve"> is that for the data analysis project, a second step (after physically acquiring the data and perusing it) should be to </w:t>
      </w:r>
      <w:r>
        <w:t>read</w:t>
      </w:r>
      <w:r>
        <w:t xml:space="preserve"> the literature associated </w:t>
      </w:r>
      <w:r>
        <w:t xml:space="preserve">with the data set! </w:t>
      </w:r>
    </w:p>
    <w:p w:rsidR="00066AFB" w:rsidRDefault="00066AFB" w:rsidP="00BE3988"/>
    <w:sectPr w:rsidR="00066AFB" w:rsidSect="001262C7"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D7" w:rsidRDefault="008B03D7" w:rsidP="00B910BE">
      <w:pPr>
        <w:spacing w:after="0" w:line="240" w:lineRule="auto"/>
      </w:pPr>
      <w:r>
        <w:separator/>
      </w:r>
    </w:p>
  </w:endnote>
  <w:endnote w:type="continuationSeparator" w:id="0">
    <w:p w:rsidR="008B03D7" w:rsidRDefault="008B03D7" w:rsidP="00B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D7" w:rsidRDefault="008B03D7" w:rsidP="00B910BE">
      <w:pPr>
        <w:spacing w:after="0" w:line="240" w:lineRule="auto"/>
      </w:pPr>
      <w:r>
        <w:separator/>
      </w:r>
    </w:p>
  </w:footnote>
  <w:footnote w:type="continuationSeparator" w:id="0">
    <w:p w:rsidR="008B03D7" w:rsidRDefault="008B03D7" w:rsidP="00B910BE">
      <w:pPr>
        <w:spacing w:after="0" w:line="240" w:lineRule="auto"/>
      </w:pPr>
      <w:r>
        <w:continuationSeparator/>
      </w:r>
    </w:p>
  </w:footnote>
  <w:footnote w:id="1">
    <w:p w:rsidR="00E20910" w:rsidRDefault="00E20910">
      <w:pPr>
        <w:pStyle w:val="FootnoteText"/>
      </w:pPr>
      <w:r>
        <w:rPr>
          <w:rStyle w:val="FootnoteReference"/>
        </w:rPr>
        <w:footnoteRef/>
      </w:r>
      <w:r>
        <w:t xml:space="preserve"> Information for this data analysis is gleaned primarily from P. </w:t>
      </w:r>
      <w:proofErr w:type="spellStart"/>
      <w:r>
        <w:t>Dalgaard’s</w:t>
      </w:r>
      <w:proofErr w:type="spellEnd"/>
      <w:r>
        <w:t xml:space="preserve"> </w:t>
      </w:r>
      <w:r w:rsidRPr="00E20910">
        <w:rPr>
          <w:i/>
        </w:rPr>
        <w:t>Introductory Statistics with R</w:t>
      </w:r>
      <w:r>
        <w:t xml:space="preserve">, Ch. 4.  The data set itself was obtained from the R library </w:t>
      </w:r>
      <w:proofErr w:type="spellStart"/>
      <w:r>
        <w:t>ISwR</w:t>
      </w:r>
      <w:proofErr w:type="spellEnd"/>
      <w:r>
        <w:t xml:space="preserve">, available for download </w:t>
      </w:r>
      <w:proofErr w:type="gramStart"/>
      <w:r>
        <w:t>from  any</w:t>
      </w:r>
      <w:proofErr w:type="gramEnd"/>
      <w:r>
        <w:t xml:space="preserve"> R CRAN site.  The one used in this report</w:t>
      </w:r>
      <w:r w:rsidR="00EC3312">
        <w:t xml:space="preserve"> came from the CRAN site at </w:t>
      </w:r>
      <w:proofErr w:type="gramStart"/>
      <w:r w:rsidR="00EC3312">
        <w:t>USA(</w:t>
      </w:r>
      <w:proofErr w:type="gramEnd"/>
      <w:r w:rsidR="00EC3312">
        <w:t>WA), and was retrieved on April 7, 2011</w:t>
      </w:r>
      <w:r>
        <w:t xml:space="preserve"> .</w:t>
      </w:r>
    </w:p>
  </w:footnote>
  <w:footnote w:id="2">
    <w:p w:rsidR="00B910BE" w:rsidRDefault="00B910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reference</w:t>
      </w:r>
      <w:proofErr w:type="gramEnd"/>
      <w:r>
        <w:t xml:space="preserve"> for </w:t>
      </w:r>
      <w:proofErr w:type="spellStart"/>
      <w:r>
        <w:t>juul</w:t>
      </w:r>
      <w:proofErr w:type="spellEnd"/>
      <w:r>
        <w:t xml:space="preserve"> pub here.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5E3"/>
    <w:multiLevelType w:val="hybridMultilevel"/>
    <w:tmpl w:val="9536D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0BE"/>
    <w:rsid w:val="000227A5"/>
    <w:rsid w:val="00066AFB"/>
    <w:rsid w:val="001262C7"/>
    <w:rsid w:val="00190DBF"/>
    <w:rsid w:val="001C7674"/>
    <w:rsid w:val="001D5476"/>
    <w:rsid w:val="002C5016"/>
    <w:rsid w:val="00356DFC"/>
    <w:rsid w:val="00454D4B"/>
    <w:rsid w:val="004A7BB4"/>
    <w:rsid w:val="00521B0D"/>
    <w:rsid w:val="00554221"/>
    <w:rsid w:val="006F5431"/>
    <w:rsid w:val="007B7C11"/>
    <w:rsid w:val="007C561B"/>
    <w:rsid w:val="007E5840"/>
    <w:rsid w:val="00816311"/>
    <w:rsid w:val="008B03D7"/>
    <w:rsid w:val="008D05B7"/>
    <w:rsid w:val="008F04C2"/>
    <w:rsid w:val="00A26ACF"/>
    <w:rsid w:val="00A47733"/>
    <w:rsid w:val="00B530F6"/>
    <w:rsid w:val="00B910BE"/>
    <w:rsid w:val="00BA7614"/>
    <w:rsid w:val="00BE1E9B"/>
    <w:rsid w:val="00BE3988"/>
    <w:rsid w:val="00C75DFA"/>
    <w:rsid w:val="00CF0BA4"/>
    <w:rsid w:val="00DA4E6F"/>
    <w:rsid w:val="00DD5518"/>
    <w:rsid w:val="00DE6DB3"/>
    <w:rsid w:val="00E20910"/>
    <w:rsid w:val="00E54158"/>
    <w:rsid w:val="00EC3312"/>
    <w:rsid w:val="00F6062A"/>
    <w:rsid w:val="00F67805"/>
    <w:rsid w:val="00FA30FA"/>
    <w:rsid w:val="00F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0B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1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0BE"/>
    <w:rPr>
      <w:vertAlign w:val="superscript"/>
    </w:rPr>
  </w:style>
  <w:style w:type="table" w:styleId="TableGrid">
    <w:name w:val="Table Grid"/>
    <w:basedOn w:val="TableNormal"/>
    <w:uiPriority w:val="59"/>
    <w:rsid w:val="00DA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776-4881-4959-B96D-49D0A11F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14</cp:revision>
  <dcterms:created xsi:type="dcterms:W3CDTF">2011-04-07T20:35:00Z</dcterms:created>
  <dcterms:modified xsi:type="dcterms:W3CDTF">2011-04-17T22:49:00Z</dcterms:modified>
</cp:coreProperties>
</file>