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2D" w:rsidRDefault="007C282C" w:rsidP="007C282C">
      <w:pPr>
        <w:jc w:val="center"/>
        <w:rPr>
          <w:rFonts w:ascii="Arial" w:hAnsi="Arial"/>
          <w:b/>
          <w:sz w:val="20"/>
        </w:rPr>
      </w:pPr>
      <w:r w:rsidRPr="007C282C">
        <w:rPr>
          <w:rFonts w:ascii="Arial" w:hAnsi="Arial"/>
          <w:b/>
          <w:sz w:val="20"/>
        </w:rPr>
        <w:t>Adolescent Development</w:t>
      </w:r>
    </w:p>
    <w:p w:rsidR="007C282C" w:rsidRDefault="00D32F2D" w:rsidP="007C282C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Winter 2012</w:t>
      </w:r>
    </w:p>
    <w:p w:rsidR="005A51AD" w:rsidRDefault="005A51AD" w:rsidP="007C282C">
      <w:pPr>
        <w:jc w:val="center"/>
        <w:rPr>
          <w:rFonts w:ascii="Arial" w:hAnsi="Arial"/>
          <w:b/>
          <w:sz w:val="20"/>
        </w:rPr>
      </w:pPr>
    </w:p>
    <w:p w:rsidR="007C282C" w:rsidRPr="005A51AD" w:rsidRDefault="005A51AD" w:rsidP="005A51A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="00C83273">
        <w:rPr>
          <w:rFonts w:ascii="Arial" w:hAnsi="Arial"/>
          <w:sz w:val="20"/>
        </w:rPr>
        <w:t>dolescent development chronologically addresses the second decade of life.</w:t>
      </w:r>
      <w:r w:rsidR="00092805">
        <w:rPr>
          <w:rFonts w:ascii="Arial" w:hAnsi="Arial"/>
          <w:sz w:val="20"/>
        </w:rPr>
        <w:t xml:space="preserve"> We begin </w:t>
      </w:r>
      <w:r w:rsidR="00911CB6">
        <w:rPr>
          <w:rFonts w:ascii="Arial" w:hAnsi="Arial"/>
          <w:sz w:val="20"/>
        </w:rPr>
        <w:t>with a</w:t>
      </w:r>
      <w:r w:rsidR="00092805">
        <w:rPr>
          <w:rFonts w:ascii="Arial" w:hAnsi="Arial"/>
          <w:sz w:val="20"/>
        </w:rPr>
        <w:t>n</w:t>
      </w:r>
      <w:r w:rsidR="00911CB6">
        <w:rPr>
          <w:rFonts w:ascii="Arial" w:hAnsi="Arial"/>
          <w:sz w:val="20"/>
        </w:rPr>
        <w:t xml:space="preserve"> </w:t>
      </w:r>
      <w:r w:rsidR="00C83273">
        <w:rPr>
          <w:rFonts w:ascii="Arial" w:hAnsi="Arial"/>
          <w:sz w:val="20"/>
        </w:rPr>
        <w:t xml:space="preserve">overview of </w:t>
      </w:r>
      <w:r w:rsidR="00C076B9">
        <w:rPr>
          <w:rFonts w:ascii="Arial" w:hAnsi="Arial"/>
          <w:sz w:val="20"/>
        </w:rPr>
        <w:t xml:space="preserve">recent </w:t>
      </w:r>
      <w:r w:rsidR="00C83273">
        <w:rPr>
          <w:rFonts w:ascii="Arial" w:hAnsi="Arial"/>
          <w:sz w:val="20"/>
        </w:rPr>
        <w:t>research in the field</w:t>
      </w:r>
      <w:r w:rsidR="00C076B9">
        <w:rPr>
          <w:rFonts w:ascii="Arial" w:hAnsi="Arial"/>
          <w:sz w:val="20"/>
        </w:rPr>
        <w:t xml:space="preserve">. </w:t>
      </w:r>
      <w:r w:rsidR="00E56CDA">
        <w:rPr>
          <w:rFonts w:ascii="Arial" w:hAnsi="Arial"/>
          <w:sz w:val="20"/>
        </w:rPr>
        <w:t>We then examine the application of adolescent development to moral education. Next, we will explore the shifting landscape</w:t>
      </w:r>
      <w:r w:rsidR="00D32F2D">
        <w:rPr>
          <w:rFonts w:ascii="Arial" w:hAnsi="Arial"/>
          <w:sz w:val="20"/>
        </w:rPr>
        <w:t>s</w:t>
      </w:r>
      <w:r w:rsidR="00E56CDA">
        <w:rPr>
          <w:rFonts w:ascii="Arial" w:hAnsi="Arial"/>
          <w:sz w:val="20"/>
        </w:rPr>
        <w:t xml:space="preserve"> of sexual and gend</w:t>
      </w:r>
      <w:r w:rsidR="002C50D7">
        <w:rPr>
          <w:rFonts w:ascii="Arial" w:hAnsi="Arial"/>
          <w:sz w:val="20"/>
        </w:rPr>
        <w:t xml:space="preserve">er identities as they impact </w:t>
      </w:r>
      <w:r w:rsidR="00E56CDA">
        <w:rPr>
          <w:rFonts w:ascii="Arial" w:hAnsi="Arial"/>
          <w:sz w:val="20"/>
        </w:rPr>
        <w:t xml:space="preserve">adolescent development. </w:t>
      </w:r>
      <w:r w:rsidR="00D32F2D">
        <w:rPr>
          <w:rFonts w:ascii="Arial" w:hAnsi="Arial"/>
          <w:sz w:val="20"/>
        </w:rPr>
        <w:t>We will then explore adolescent development in cultural context</w:t>
      </w:r>
      <w:r w:rsidR="000C54A8">
        <w:rPr>
          <w:rFonts w:ascii="Arial" w:hAnsi="Arial"/>
          <w:sz w:val="20"/>
        </w:rPr>
        <w:t>s</w:t>
      </w:r>
      <w:r w:rsidR="00D32F2D">
        <w:rPr>
          <w:rFonts w:ascii="Arial" w:hAnsi="Arial"/>
          <w:sz w:val="20"/>
        </w:rPr>
        <w:t xml:space="preserve"> through an examination of a series of case studies. The through line for this ex</w:t>
      </w:r>
      <w:r w:rsidR="00CA0B5F">
        <w:rPr>
          <w:rFonts w:ascii="Arial" w:hAnsi="Arial"/>
          <w:sz w:val="20"/>
        </w:rPr>
        <w:t xml:space="preserve">ploration: How does an examination of adolescence impact your </w:t>
      </w:r>
      <w:r w:rsidR="002C50D7">
        <w:rPr>
          <w:rFonts w:ascii="Arial" w:hAnsi="Arial"/>
          <w:sz w:val="20"/>
        </w:rPr>
        <w:t>developing professional i</w:t>
      </w:r>
      <w:r w:rsidR="00804492">
        <w:rPr>
          <w:rFonts w:ascii="Arial" w:hAnsi="Arial"/>
          <w:sz w:val="20"/>
        </w:rPr>
        <w:t>dentity</w:t>
      </w:r>
      <w:r w:rsidR="00CA0B5F">
        <w:rPr>
          <w:rFonts w:ascii="Arial" w:hAnsi="Arial"/>
          <w:sz w:val="20"/>
        </w:rPr>
        <w:t xml:space="preserve"> as a teacher?</w:t>
      </w:r>
    </w:p>
    <w:p w:rsidR="007C282C" w:rsidRDefault="007C282C" w:rsidP="00394425">
      <w:pPr>
        <w:rPr>
          <w:rFonts w:ascii="Arial" w:hAnsi="Arial"/>
          <w:b/>
          <w:sz w:val="20"/>
        </w:rPr>
      </w:pPr>
    </w:p>
    <w:tbl>
      <w:tblPr>
        <w:tblStyle w:val="TableGrid"/>
        <w:tblW w:w="0" w:type="auto"/>
        <w:tblLook w:val="00BF"/>
      </w:tblPr>
      <w:tblGrid>
        <w:gridCol w:w="918"/>
        <w:gridCol w:w="7938"/>
      </w:tblGrid>
      <w:tr w:rsidR="007C282C">
        <w:tc>
          <w:tcPr>
            <w:tcW w:w="918" w:type="dxa"/>
          </w:tcPr>
          <w:p w:rsidR="007C282C" w:rsidRDefault="007C282C" w:rsidP="007C28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Jan 11</w:t>
            </w:r>
          </w:p>
          <w:p w:rsidR="007C282C" w:rsidRDefault="007C282C" w:rsidP="007C282C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</w:tcPr>
          <w:p w:rsidR="00BF7E77" w:rsidRPr="00BF7E77" w:rsidRDefault="00BF7E77" w:rsidP="007C282C">
            <w:pPr>
              <w:rPr>
                <w:rFonts w:ascii="Arial" w:hAnsi="Arial"/>
                <w:sz w:val="20"/>
                <w:u w:val="single"/>
              </w:rPr>
            </w:pPr>
            <w:r w:rsidRPr="00BF7E77">
              <w:rPr>
                <w:rFonts w:ascii="Arial" w:hAnsi="Arial"/>
                <w:sz w:val="20"/>
                <w:u w:val="single"/>
              </w:rPr>
              <w:t>Overview of the Field</w:t>
            </w:r>
          </w:p>
          <w:p w:rsidR="00E04FCF" w:rsidRDefault="00E04FCF" w:rsidP="007C28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Adolescent Development 1988</w:t>
            </w:r>
          </w:p>
          <w:p w:rsidR="00394425" w:rsidRDefault="00E04FCF" w:rsidP="007C28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Adolescent Development 2001</w:t>
            </w:r>
          </w:p>
          <w:p w:rsidR="007C282C" w:rsidRDefault="007C282C" w:rsidP="007C282C">
            <w:pPr>
              <w:rPr>
                <w:rFonts w:ascii="Arial" w:hAnsi="Arial"/>
                <w:sz w:val="20"/>
              </w:rPr>
            </w:pPr>
          </w:p>
        </w:tc>
      </w:tr>
      <w:tr w:rsidR="007C282C">
        <w:tc>
          <w:tcPr>
            <w:tcW w:w="918" w:type="dxa"/>
          </w:tcPr>
          <w:p w:rsidR="007C282C" w:rsidRDefault="007C282C" w:rsidP="007C28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Jan 18</w:t>
            </w:r>
          </w:p>
          <w:p w:rsidR="007C282C" w:rsidRDefault="007C282C" w:rsidP="007C282C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</w:tcPr>
          <w:p w:rsidR="00BF7E77" w:rsidRPr="005A0966" w:rsidRDefault="005B0006" w:rsidP="007C28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Adolescent Brain and Moral/</w:t>
            </w:r>
            <w:r w:rsidR="005A0966">
              <w:rPr>
                <w:rFonts w:ascii="Arial" w:hAnsi="Arial"/>
                <w:sz w:val="20"/>
                <w:u w:val="single"/>
              </w:rPr>
              <w:t>Social Development</w:t>
            </w:r>
          </w:p>
          <w:p w:rsidR="00BF7E77" w:rsidRDefault="004A6C80" w:rsidP="007C282C">
            <w:pPr>
              <w:rPr>
                <w:rFonts w:ascii="Arial" w:hAnsi="Arial"/>
                <w:sz w:val="20"/>
              </w:rPr>
            </w:pPr>
            <w:r w:rsidRPr="00C83273">
              <w:rPr>
                <w:rFonts w:ascii="Arial" w:hAnsi="Arial"/>
                <w:i/>
                <w:sz w:val="20"/>
              </w:rPr>
              <w:t>Nice Is Not Enough</w:t>
            </w:r>
            <w:r>
              <w:rPr>
                <w:rFonts w:ascii="Arial" w:hAnsi="Arial"/>
                <w:sz w:val="20"/>
              </w:rPr>
              <w:t xml:space="preserve"> (1-52)</w:t>
            </w:r>
          </w:p>
          <w:p w:rsidR="007C282C" w:rsidRDefault="007C282C" w:rsidP="007C282C">
            <w:pPr>
              <w:rPr>
                <w:rFonts w:ascii="Arial" w:hAnsi="Arial"/>
                <w:sz w:val="20"/>
              </w:rPr>
            </w:pPr>
          </w:p>
        </w:tc>
      </w:tr>
      <w:tr w:rsidR="007C282C">
        <w:tc>
          <w:tcPr>
            <w:tcW w:w="918" w:type="dxa"/>
          </w:tcPr>
          <w:p w:rsidR="007C282C" w:rsidRDefault="007C282C" w:rsidP="007C28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Jan 25</w:t>
            </w:r>
          </w:p>
          <w:p w:rsidR="007C282C" w:rsidRDefault="007C282C" w:rsidP="007C282C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</w:tcPr>
          <w:p w:rsidR="00BF7E77" w:rsidRPr="00E56443" w:rsidRDefault="00B1008E" w:rsidP="004A6C8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Sexual/Gender Development: </w:t>
            </w:r>
            <w:r w:rsidR="00305C37">
              <w:rPr>
                <w:rFonts w:ascii="Arial" w:hAnsi="Arial"/>
                <w:sz w:val="20"/>
                <w:u w:val="single"/>
              </w:rPr>
              <w:t xml:space="preserve">Naming </w:t>
            </w:r>
            <w:r w:rsidR="00E56443">
              <w:rPr>
                <w:rFonts w:ascii="Arial" w:hAnsi="Arial"/>
                <w:sz w:val="20"/>
                <w:u w:val="single"/>
              </w:rPr>
              <w:t>Cisgender and Transgender</w:t>
            </w:r>
          </w:p>
          <w:p w:rsidR="00CE71AF" w:rsidRPr="00CA0B5F" w:rsidRDefault="006A4ECA" w:rsidP="004A6C80">
            <w:pPr>
              <w:rPr>
                <w:rFonts w:ascii="Arial" w:hAnsi="Arial"/>
                <w:i/>
                <w:sz w:val="20"/>
              </w:rPr>
            </w:pPr>
            <w:r w:rsidRPr="00CA0B5F">
              <w:rPr>
                <w:rFonts w:ascii="Arial" w:hAnsi="Arial"/>
                <w:i/>
                <w:sz w:val="20"/>
              </w:rPr>
              <w:t>The Cisg</w:t>
            </w:r>
            <w:r w:rsidR="006F0198" w:rsidRPr="00CA0B5F">
              <w:rPr>
                <w:rFonts w:ascii="Arial" w:hAnsi="Arial"/>
                <w:i/>
                <w:sz w:val="20"/>
              </w:rPr>
              <w:t>ender (Non-Transgender) Privilege Checklist</w:t>
            </w:r>
          </w:p>
          <w:p w:rsidR="006F0198" w:rsidRPr="00CA0B5F" w:rsidRDefault="00CE71AF" w:rsidP="004A6C80">
            <w:pPr>
              <w:rPr>
                <w:rFonts w:ascii="Arial" w:hAnsi="Arial"/>
                <w:i/>
                <w:sz w:val="20"/>
              </w:rPr>
            </w:pPr>
            <w:r w:rsidRPr="00CA0B5F">
              <w:rPr>
                <w:rFonts w:ascii="Arial" w:hAnsi="Arial"/>
                <w:i/>
                <w:sz w:val="20"/>
              </w:rPr>
              <w:t>‘’’Cause I’m a G”: Identity Work of a Lesbian Teen in Language Arts</w:t>
            </w:r>
          </w:p>
          <w:p w:rsidR="00E56443" w:rsidRDefault="00CA0B5F" w:rsidP="004A6C8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Understanding Suicide among Sexual Minority Y</w:t>
            </w:r>
            <w:r w:rsidR="006F0198" w:rsidRPr="00CA0B5F">
              <w:rPr>
                <w:rFonts w:ascii="Arial" w:hAnsi="Arial"/>
                <w:i/>
                <w:sz w:val="20"/>
              </w:rPr>
              <w:t>outh in America</w:t>
            </w:r>
          </w:p>
          <w:p w:rsidR="00C83273" w:rsidRDefault="00C83273" w:rsidP="004A6C80">
            <w:pPr>
              <w:rPr>
                <w:rFonts w:ascii="Arial" w:hAnsi="Arial"/>
                <w:sz w:val="20"/>
              </w:rPr>
            </w:pPr>
          </w:p>
          <w:p w:rsidR="00DE7E17" w:rsidRDefault="00E56443" w:rsidP="004A6C8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Talcott Broadhead</w:t>
            </w:r>
            <w:r w:rsidR="00CC3DD9">
              <w:rPr>
                <w:rFonts w:ascii="Arial" w:hAnsi="Arial"/>
                <w:sz w:val="20"/>
              </w:rPr>
              <w:t>, Office of Sexual Assault Prevention Coordinator</w:t>
            </w:r>
          </w:p>
          <w:p w:rsidR="00394425" w:rsidRDefault="00DE7E17" w:rsidP="004A6C8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Evergreen State College</w:t>
            </w:r>
          </w:p>
          <w:p w:rsidR="007C282C" w:rsidRDefault="007C282C" w:rsidP="004A6C80">
            <w:pPr>
              <w:rPr>
                <w:rFonts w:ascii="Arial" w:hAnsi="Arial"/>
                <w:sz w:val="20"/>
              </w:rPr>
            </w:pPr>
          </w:p>
        </w:tc>
      </w:tr>
      <w:tr w:rsidR="007C282C">
        <w:tc>
          <w:tcPr>
            <w:tcW w:w="918" w:type="dxa"/>
          </w:tcPr>
          <w:p w:rsidR="007C282C" w:rsidRDefault="007C282C" w:rsidP="007C28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Feb 1</w:t>
            </w:r>
          </w:p>
          <w:p w:rsidR="007C282C" w:rsidRDefault="007C282C" w:rsidP="007C282C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</w:tcPr>
          <w:p w:rsidR="00E56443" w:rsidRPr="00E56443" w:rsidRDefault="0049504A" w:rsidP="007C282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Adolescent Development and Cultural Context: </w:t>
            </w:r>
            <w:r w:rsidR="00E56443">
              <w:rPr>
                <w:rFonts w:ascii="Arial" w:hAnsi="Arial"/>
                <w:sz w:val="20"/>
                <w:u w:val="single"/>
              </w:rPr>
              <w:t>Boundaries and Borders</w:t>
            </w:r>
          </w:p>
          <w:p w:rsidR="00E56443" w:rsidRDefault="006A150E" w:rsidP="007C282C">
            <w:pPr>
              <w:rPr>
                <w:rFonts w:ascii="Arial" w:hAnsi="Arial"/>
                <w:sz w:val="20"/>
              </w:rPr>
            </w:pPr>
            <w:r w:rsidRPr="00C83273">
              <w:rPr>
                <w:rFonts w:ascii="Arial" w:hAnsi="Arial"/>
                <w:i/>
                <w:sz w:val="20"/>
              </w:rPr>
              <w:t>Adolescents’</w:t>
            </w:r>
            <w:r w:rsidR="005D3BCD" w:rsidRPr="00C83273">
              <w:rPr>
                <w:rFonts w:ascii="Arial" w:hAnsi="Arial"/>
                <w:i/>
                <w:sz w:val="20"/>
              </w:rPr>
              <w:t xml:space="preserve"> Worlds</w:t>
            </w:r>
            <w:r w:rsidR="005D3BCD">
              <w:rPr>
                <w:rFonts w:ascii="Arial" w:hAnsi="Arial"/>
                <w:sz w:val="20"/>
              </w:rPr>
              <w:t xml:space="preserve"> (1-23</w:t>
            </w:r>
            <w:r>
              <w:rPr>
                <w:rFonts w:ascii="Arial" w:hAnsi="Arial"/>
                <w:sz w:val="20"/>
              </w:rPr>
              <w:t>)</w:t>
            </w:r>
          </w:p>
          <w:p w:rsidR="007C282C" w:rsidRDefault="007C282C" w:rsidP="007C282C">
            <w:pPr>
              <w:rPr>
                <w:rFonts w:ascii="Arial" w:hAnsi="Arial"/>
                <w:sz w:val="20"/>
              </w:rPr>
            </w:pPr>
          </w:p>
        </w:tc>
      </w:tr>
      <w:tr w:rsidR="007C282C">
        <w:tc>
          <w:tcPr>
            <w:tcW w:w="918" w:type="dxa"/>
          </w:tcPr>
          <w:p w:rsidR="007C282C" w:rsidRDefault="007C282C" w:rsidP="007C28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Feb 8</w:t>
            </w:r>
          </w:p>
          <w:p w:rsidR="007C282C" w:rsidRDefault="007C282C" w:rsidP="007C282C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</w:tcPr>
          <w:p w:rsidR="00085308" w:rsidRPr="00085308" w:rsidRDefault="00085308" w:rsidP="007C282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Congruent Worlds: Smooth Transitions/Different Worlds: Transitions Managed</w:t>
            </w:r>
          </w:p>
          <w:p w:rsidR="006E5A53" w:rsidRDefault="006A150E" w:rsidP="007C282C">
            <w:pPr>
              <w:rPr>
                <w:rFonts w:ascii="Arial" w:hAnsi="Arial"/>
                <w:sz w:val="20"/>
              </w:rPr>
            </w:pPr>
            <w:r w:rsidRPr="00C83273">
              <w:rPr>
                <w:rFonts w:ascii="Arial" w:hAnsi="Arial"/>
                <w:i/>
                <w:sz w:val="20"/>
              </w:rPr>
              <w:t>Adolescents’</w:t>
            </w:r>
            <w:r w:rsidR="00AC5BD7" w:rsidRPr="00C83273">
              <w:rPr>
                <w:rFonts w:ascii="Arial" w:hAnsi="Arial"/>
                <w:i/>
                <w:sz w:val="20"/>
              </w:rPr>
              <w:t xml:space="preserve"> Worlds</w:t>
            </w:r>
            <w:r w:rsidR="00AC5BD7">
              <w:rPr>
                <w:rFonts w:ascii="Arial" w:hAnsi="Arial"/>
                <w:sz w:val="20"/>
              </w:rPr>
              <w:t xml:space="preserve"> (24-74</w:t>
            </w:r>
            <w:r>
              <w:rPr>
                <w:rFonts w:ascii="Arial" w:hAnsi="Arial"/>
                <w:sz w:val="20"/>
              </w:rPr>
              <w:t>)</w:t>
            </w:r>
          </w:p>
          <w:p w:rsidR="007C282C" w:rsidRDefault="007C282C" w:rsidP="007C282C">
            <w:pPr>
              <w:rPr>
                <w:rFonts w:ascii="Arial" w:hAnsi="Arial"/>
                <w:sz w:val="20"/>
              </w:rPr>
            </w:pPr>
          </w:p>
        </w:tc>
      </w:tr>
      <w:tr w:rsidR="007C282C">
        <w:tc>
          <w:tcPr>
            <w:tcW w:w="918" w:type="dxa"/>
          </w:tcPr>
          <w:p w:rsidR="007C282C" w:rsidRDefault="007C282C" w:rsidP="007C28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Feb 15</w:t>
            </w:r>
          </w:p>
          <w:p w:rsidR="007C282C" w:rsidRDefault="007C282C" w:rsidP="007C282C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</w:tcPr>
          <w:p w:rsidR="00085308" w:rsidRPr="006E5A53" w:rsidRDefault="006E5A53" w:rsidP="007C282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Different Worlds: Transitions Difficult</w:t>
            </w:r>
          </w:p>
          <w:p w:rsidR="006E5A53" w:rsidRDefault="00AC5BD7" w:rsidP="007C282C">
            <w:pPr>
              <w:rPr>
                <w:rFonts w:ascii="Arial" w:hAnsi="Arial"/>
                <w:sz w:val="20"/>
              </w:rPr>
            </w:pPr>
            <w:r w:rsidRPr="00C83273">
              <w:rPr>
                <w:rFonts w:ascii="Arial" w:hAnsi="Arial"/>
                <w:i/>
                <w:sz w:val="20"/>
              </w:rPr>
              <w:t>Adolescents’ Worlds</w:t>
            </w:r>
            <w:r>
              <w:rPr>
                <w:rFonts w:ascii="Arial" w:hAnsi="Arial"/>
                <w:sz w:val="20"/>
              </w:rPr>
              <w:t xml:space="preserve"> (75-</w:t>
            </w:r>
            <w:r w:rsidR="00FF6FEF">
              <w:rPr>
                <w:rFonts w:ascii="Arial" w:hAnsi="Arial"/>
                <w:sz w:val="20"/>
              </w:rPr>
              <w:t>117</w:t>
            </w:r>
            <w:r w:rsidR="006A150E">
              <w:rPr>
                <w:rFonts w:ascii="Arial" w:hAnsi="Arial"/>
                <w:sz w:val="20"/>
              </w:rPr>
              <w:t>)</w:t>
            </w:r>
          </w:p>
          <w:p w:rsidR="007C282C" w:rsidRDefault="007C282C" w:rsidP="007C282C">
            <w:pPr>
              <w:rPr>
                <w:rFonts w:ascii="Arial" w:hAnsi="Arial"/>
                <w:sz w:val="20"/>
              </w:rPr>
            </w:pPr>
          </w:p>
        </w:tc>
      </w:tr>
      <w:tr w:rsidR="007C282C">
        <w:tc>
          <w:tcPr>
            <w:tcW w:w="918" w:type="dxa"/>
          </w:tcPr>
          <w:p w:rsidR="007C282C" w:rsidRDefault="007C282C" w:rsidP="007C28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Feb 22</w:t>
            </w:r>
          </w:p>
          <w:p w:rsidR="007C282C" w:rsidRDefault="007C282C" w:rsidP="007C282C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</w:tcPr>
          <w:p w:rsidR="006E5A53" w:rsidRPr="006E5A53" w:rsidRDefault="006E5A53" w:rsidP="007C282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Different Worlds: Transitions Resisted/Congruent Worlds: Transitions Resisted</w:t>
            </w:r>
          </w:p>
          <w:p w:rsidR="006E5A53" w:rsidRDefault="005D3BCD" w:rsidP="007C282C">
            <w:pPr>
              <w:rPr>
                <w:rFonts w:ascii="Arial" w:hAnsi="Arial"/>
                <w:sz w:val="20"/>
              </w:rPr>
            </w:pPr>
            <w:r w:rsidRPr="00C83273">
              <w:rPr>
                <w:rFonts w:ascii="Arial" w:hAnsi="Arial"/>
                <w:i/>
                <w:sz w:val="20"/>
              </w:rPr>
              <w:t>Adolescents’ Worlds</w:t>
            </w:r>
            <w:r>
              <w:rPr>
                <w:rFonts w:ascii="Arial" w:hAnsi="Arial"/>
                <w:sz w:val="20"/>
              </w:rPr>
              <w:t xml:space="preserve"> (1</w:t>
            </w:r>
            <w:r w:rsidR="00EF3CDF">
              <w:rPr>
                <w:rFonts w:ascii="Arial" w:hAnsi="Arial"/>
                <w:sz w:val="20"/>
              </w:rPr>
              <w:t>18-</w:t>
            </w:r>
            <w:r w:rsidR="004F39A2">
              <w:rPr>
                <w:rFonts w:ascii="Arial" w:hAnsi="Arial"/>
                <w:sz w:val="20"/>
              </w:rPr>
              <w:t>164</w:t>
            </w:r>
            <w:r>
              <w:rPr>
                <w:rFonts w:ascii="Arial" w:hAnsi="Arial"/>
                <w:sz w:val="20"/>
              </w:rPr>
              <w:t>)</w:t>
            </w:r>
          </w:p>
          <w:p w:rsidR="007C282C" w:rsidRDefault="007C282C" w:rsidP="007C282C">
            <w:pPr>
              <w:rPr>
                <w:rFonts w:ascii="Arial" w:hAnsi="Arial"/>
                <w:sz w:val="20"/>
              </w:rPr>
            </w:pPr>
          </w:p>
        </w:tc>
      </w:tr>
      <w:tr w:rsidR="007C282C">
        <w:tc>
          <w:tcPr>
            <w:tcW w:w="918" w:type="dxa"/>
          </w:tcPr>
          <w:p w:rsidR="007C282C" w:rsidRDefault="007C282C" w:rsidP="007C28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Feb 29</w:t>
            </w:r>
          </w:p>
          <w:p w:rsidR="007C282C" w:rsidRDefault="007C282C" w:rsidP="007C282C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</w:tcPr>
          <w:p w:rsidR="00024C5D" w:rsidRPr="005D17FA" w:rsidRDefault="005D17FA" w:rsidP="007C282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Different Worlds: Smooth Transitions</w:t>
            </w:r>
          </w:p>
          <w:p w:rsidR="006E5A53" w:rsidRDefault="005D3BCD" w:rsidP="007C282C">
            <w:pPr>
              <w:rPr>
                <w:rFonts w:ascii="Arial" w:hAnsi="Arial"/>
                <w:sz w:val="20"/>
              </w:rPr>
            </w:pPr>
            <w:r w:rsidRPr="00C83273">
              <w:rPr>
                <w:rFonts w:ascii="Arial" w:hAnsi="Arial"/>
                <w:i/>
                <w:sz w:val="20"/>
              </w:rPr>
              <w:t>Adolescents’ Worlds</w:t>
            </w:r>
            <w:r>
              <w:rPr>
                <w:rFonts w:ascii="Arial" w:hAnsi="Arial"/>
                <w:sz w:val="20"/>
              </w:rPr>
              <w:t xml:space="preserve"> (1</w:t>
            </w:r>
            <w:r w:rsidR="004F39A2">
              <w:rPr>
                <w:rFonts w:ascii="Arial" w:hAnsi="Arial"/>
                <w:sz w:val="20"/>
              </w:rPr>
              <w:t>65-182</w:t>
            </w:r>
            <w:r>
              <w:rPr>
                <w:rFonts w:ascii="Arial" w:hAnsi="Arial"/>
                <w:sz w:val="20"/>
              </w:rPr>
              <w:t>)</w:t>
            </w:r>
          </w:p>
          <w:p w:rsidR="007C282C" w:rsidRDefault="007C282C" w:rsidP="007C282C">
            <w:pPr>
              <w:rPr>
                <w:rFonts w:ascii="Arial" w:hAnsi="Arial"/>
                <w:sz w:val="20"/>
              </w:rPr>
            </w:pPr>
          </w:p>
        </w:tc>
      </w:tr>
      <w:tr w:rsidR="007C282C">
        <w:tc>
          <w:tcPr>
            <w:tcW w:w="918" w:type="dxa"/>
          </w:tcPr>
          <w:p w:rsidR="007C282C" w:rsidRDefault="007C282C" w:rsidP="007C28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 7</w:t>
            </w:r>
          </w:p>
          <w:p w:rsidR="007C282C" w:rsidRDefault="007C282C" w:rsidP="007C282C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</w:tcPr>
          <w:p w:rsidR="00DC7C2F" w:rsidRPr="005A0966" w:rsidRDefault="005A0966" w:rsidP="007C28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Identifying Borders, Building Bridges</w:t>
            </w:r>
          </w:p>
          <w:p w:rsidR="00C83273" w:rsidRDefault="005D3BCD" w:rsidP="007C282C">
            <w:pPr>
              <w:rPr>
                <w:rFonts w:ascii="Arial" w:hAnsi="Arial"/>
                <w:sz w:val="20"/>
              </w:rPr>
            </w:pPr>
            <w:r w:rsidRPr="00C83273">
              <w:rPr>
                <w:rFonts w:ascii="Arial" w:hAnsi="Arial"/>
                <w:i/>
                <w:sz w:val="20"/>
              </w:rPr>
              <w:t>Adolescents’ Worlds</w:t>
            </w:r>
            <w:r>
              <w:rPr>
                <w:rFonts w:ascii="Arial" w:hAnsi="Arial"/>
                <w:sz w:val="20"/>
              </w:rPr>
              <w:t xml:space="preserve"> (1</w:t>
            </w:r>
            <w:r w:rsidR="004F39A2">
              <w:rPr>
                <w:rFonts w:ascii="Arial" w:hAnsi="Arial"/>
                <w:sz w:val="20"/>
              </w:rPr>
              <w:t>83-209</w:t>
            </w:r>
            <w:r>
              <w:rPr>
                <w:rFonts w:ascii="Arial" w:hAnsi="Arial"/>
                <w:sz w:val="20"/>
              </w:rPr>
              <w:t>)</w:t>
            </w:r>
          </w:p>
          <w:p w:rsidR="007C282C" w:rsidRDefault="007C282C" w:rsidP="007C282C">
            <w:pPr>
              <w:rPr>
                <w:rFonts w:ascii="Arial" w:hAnsi="Arial"/>
                <w:sz w:val="20"/>
              </w:rPr>
            </w:pPr>
          </w:p>
        </w:tc>
      </w:tr>
      <w:tr w:rsidR="007C282C">
        <w:tc>
          <w:tcPr>
            <w:tcW w:w="918" w:type="dxa"/>
          </w:tcPr>
          <w:p w:rsidR="007C282C" w:rsidRDefault="007C282C" w:rsidP="007C28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 14</w:t>
            </w:r>
          </w:p>
          <w:p w:rsidR="007C282C" w:rsidRDefault="007C282C" w:rsidP="007C282C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</w:tcPr>
          <w:p w:rsidR="007C282C" w:rsidRDefault="00C83273" w:rsidP="007C28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TBA</w:t>
            </w:r>
          </w:p>
        </w:tc>
      </w:tr>
    </w:tbl>
    <w:p w:rsidR="005D3BCD" w:rsidRPr="00E3787E" w:rsidRDefault="005D3BCD" w:rsidP="008A4EA8">
      <w:pPr>
        <w:rPr>
          <w:rFonts w:ascii="Arial" w:hAnsi="Arial"/>
          <w:sz w:val="20"/>
        </w:rPr>
      </w:pPr>
    </w:p>
    <w:sectPr w:rsidR="005D3BCD" w:rsidRPr="00E3787E" w:rsidSect="005D3BC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80706"/>
    <w:multiLevelType w:val="hybridMultilevel"/>
    <w:tmpl w:val="4B8C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C282C"/>
    <w:rsid w:val="00024C5D"/>
    <w:rsid w:val="000643FC"/>
    <w:rsid w:val="00085308"/>
    <w:rsid w:val="00092805"/>
    <w:rsid w:val="000C54A8"/>
    <w:rsid w:val="000F7634"/>
    <w:rsid w:val="002A21C0"/>
    <w:rsid w:val="002C50D7"/>
    <w:rsid w:val="00305C37"/>
    <w:rsid w:val="00310821"/>
    <w:rsid w:val="00320729"/>
    <w:rsid w:val="00394425"/>
    <w:rsid w:val="003F5481"/>
    <w:rsid w:val="00413AA2"/>
    <w:rsid w:val="004836F3"/>
    <w:rsid w:val="0049504A"/>
    <w:rsid w:val="004A6C80"/>
    <w:rsid w:val="004F39A2"/>
    <w:rsid w:val="00537CAD"/>
    <w:rsid w:val="00544786"/>
    <w:rsid w:val="00593DD9"/>
    <w:rsid w:val="005A0966"/>
    <w:rsid w:val="005A3DCC"/>
    <w:rsid w:val="005A51AD"/>
    <w:rsid w:val="005B0006"/>
    <w:rsid w:val="005D17FA"/>
    <w:rsid w:val="005D3BCD"/>
    <w:rsid w:val="006069E9"/>
    <w:rsid w:val="006A150E"/>
    <w:rsid w:val="006A4ECA"/>
    <w:rsid w:val="006B2659"/>
    <w:rsid w:val="006E5A53"/>
    <w:rsid w:val="006F0198"/>
    <w:rsid w:val="006F589A"/>
    <w:rsid w:val="00703C27"/>
    <w:rsid w:val="007C282C"/>
    <w:rsid w:val="00804492"/>
    <w:rsid w:val="008075AC"/>
    <w:rsid w:val="008A4EA8"/>
    <w:rsid w:val="008B558A"/>
    <w:rsid w:val="00911CB6"/>
    <w:rsid w:val="0091533B"/>
    <w:rsid w:val="009F417D"/>
    <w:rsid w:val="00A945AB"/>
    <w:rsid w:val="00AB5792"/>
    <w:rsid w:val="00AC5BD7"/>
    <w:rsid w:val="00B1008E"/>
    <w:rsid w:val="00BF7E77"/>
    <w:rsid w:val="00C076B9"/>
    <w:rsid w:val="00C36355"/>
    <w:rsid w:val="00C83273"/>
    <w:rsid w:val="00CA0B5F"/>
    <w:rsid w:val="00CB138B"/>
    <w:rsid w:val="00CC3DD9"/>
    <w:rsid w:val="00CE71AF"/>
    <w:rsid w:val="00D32F2D"/>
    <w:rsid w:val="00DC7C2F"/>
    <w:rsid w:val="00DD0C2F"/>
    <w:rsid w:val="00DE7E17"/>
    <w:rsid w:val="00E04FCF"/>
    <w:rsid w:val="00E3787E"/>
    <w:rsid w:val="00E56443"/>
    <w:rsid w:val="00E56CDA"/>
    <w:rsid w:val="00EF3CDF"/>
    <w:rsid w:val="00F44DD9"/>
    <w:rsid w:val="00FF6FE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A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C28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944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5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1417</Characters>
  <Application>Microsoft Macintosh Word</Application>
  <DocSecurity>0</DocSecurity>
  <Lines>11</Lines>
  <Paragraphs>2</Paragraphs>
  <ScaleCrop>false</ScaleCrop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TESC TESC</cp:lastModifiedBy>
  <cp:revision>3</cp:revision>
  <cp:lastPrinted>2012-01-11T15:38:00Z</cp:lastPrinted>
  <dcterms:created xsi:type="dcterms:W3CDTF">2012-01-11T16:22:00Z</dcterms:created>
  <dcterms:modified xsi:type="dcterms:W3CDTF">2012-01-11T16:48:00Z</dcterms:modified>
</cp:coreProperties>
</file>